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19" w:rsidRPr="0093486D" w:rsidRDefault="00A45421" w:rsidP="00483915">
      <w:pPr>
        <w:tabs>
          <w:tab w:val="left" w:pos="1425"/>
          <w:tab w:val="left" w:pos="3000"/>
          <w:tab w:val="center" w:pos="4898"/>
        </w:tabs>
        <w:spacing w:after="0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E92819" w:rsidRPr="0093486D" w:rsidRDefault="00E92819" w:rsidP="00483915">
      <w:pPr>
        <w:keepNext/>
        <w:spacing w:after="0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E92819" w:rsidRPr="0093486D" w:rsidRDefault="00E92819" w:rsidP="004839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АДМИНИСТРАЦИЯ ЗЕЛЕНЧУКСКОГО МУНИЦИПАЛЬНОГО РАЙОНА</w:t>
      </w:r>
    </w:p>
    <w:p w:rsidR="00E92819" w:rsidRPr="0093486D" w:rsidRDefault="00E92819" w:rsidP="00483915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19" w:rsidRPr="0093486D" w:rsidRDefault="00E92819" w:rsidP="00483915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2819" w:rsidRPr="0093486D" w:rsidRDefault="00E92819" w:rsidP="0093486D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19" w:rsidRPr="0093486D" w:rsidRDefault="00E92819" w:rsidP="0093486D">
      <w:pPr>
        <w:tabs>
          <w:tab w:val="left" w:pos="19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48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0FD8">
        <w:rPr>
          <w:rFonts w:ascii="Times New Roman" w:hAnsi="Times New Roman" w:cs="Times New Roman"/>
          <w:sz w:val="28"/>
          <w:szCs w:val="28"/>
        </w:rPr>
        <w:t>30.11.</w:t>
      </w:r>
      <w:r w:rsidRPr="0093486D">
        <w:rPr>
          <w:rFonts w:ascii="Times New Roman" w:hAnsi="Times New Roman" w:cs="Times New Roman"/>
          <w:sz w:val="28"/>
          <w:szCs w:val="28"/>
        </w:rPr>
        <w:t>201</w:t>
      </w:r>
      <w:r w:rsidR="007D564C">
        <w:rPr>
          <w:rFonts w:ascii="Times New Roman" w:hAnsi="Times New Roman" w:cs="Times New Roman"/>
          <w:sz w:val="28"/>
          <w:szCs w:val="28"/>
        </w:rPr>
        <w:t>7</w:t>
      </w:r>
      <w:r w:rsidRPr="0093486D">
        <w:rPr>
          <w:rFonts w:ascii="Times New Roman" w:hAnsi="Times New Roman" w:cs="Times New Roman"/>
          <w:sz w:val="28"/>
          <w:szCs w:val="28"/>
        </w:rPr>
        <w:t xml:space="preserve">                      ст. Зеленчукская            </w:t>
      </w:r>
      <w:r w:rsidR="00A00FD8">
        <w:rPr>
          <w:rFonts w:ascii="Times New Roman" w:hAnsi="Times New Roman" w:cs="Times New Roman"/>
          <w:sz w:val="28"/>
          <w:szCs w:val="28"/>
        </w:rPr>
        <w:t xml:space="preserve">                   № 1086</w:t>
      </w:r>
    </w:p>
    <w:p w:rsidR="00E92819" w:rsidRPr="0093486D" w:rsidRDefault="00E92819" w:rsidP="0093486D">
      <w:pPr>
        <w:shd w:val="clear" w:color="auto" w:fill="FFFFFF"/>
        <w:tabs>
          <w:tab w:val="left" w:pos="9405"/>
          <w:tab w:val="left" w:pos="9747"/>
        </w:tabs>
        <w:spacing w:after="0" w:line="252" w:lineRule="exact"/>
        <w:ind w:left="2383" w:right="2340"/>
        <w:rPr>
          <w:rFonts w:ascii="Times New Roman" w:hAnsi="Times New Roman" w:cs="Times New Roman"/>
          <w:sz w:val="28"/>
          <w:szCs w:val="28"/>
        </w:rPr>
      </w:pPr>
    </w:p>
    <w:p w:rsidR="00E92819" w:rsidRPr="0093486D" w:rsidRDefault="00E92819" w:rsidP="0093486D">
      <w:pPr>
        <w:shd w:val="clear" w:color="auto" w:fill="FFFFFF"/>
        <w:tabs>
          <w:tab w:val="left" w:pos="9405"/>
          <w:tab w:val="left" w:pos="9747"/>
        </w:tabs>
        <w:spacing w:after="0" w:line="252" w:lineRule="exact"/>
        <w:ind w:left="2383" w:right="2340"/>
        <w:rPr>
          <w:rFonts w:ascii="Times New Roman" w:hAnsi="Times New Roman" w:cs="Times New Roman"/>
          <w:sz w:val="28"/>
          <w:szCs w:val="28"/>
        </w:rPr>
      </w:pPr>
    </w:p>
    <w:p w:rsidR="00E92819" w:rsidRPr="0093486D" w:rsidRDefault="00E92819" w:rsidP="0093486D">
      <w:pPr>
        <w:shd w:val="clear" w:color="auto" w:fill="FFFFFF"/>
        <w:tabs>
          <w:tab w:val="left" w:pos="9354"/>
          <w:tab w:val="left" w:pos="9498"/>
        </w:tabs>
        <w:spacing w:after="0"/>
        <w:ind w:right="-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3486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E26C9F">
        <w:rPr>
          <w:rFonts w:ascii="Times New Roman" w:hAnsi="Times New Roman" w:cs="Times New Roman"/>
          <w:spacing w:val="-3"/>
          <w:sz w:val="28"/>
          <w:szCs w:val="28"/>
        </w:rPr>
        <w:t xml:space="preserve">б утверждении бюджетного прогноза </w:t>
      </w:r>
      <w:r w:rsidRPr="0093486D">
        <w:rPr>
          <w:rFonts w:ascii="Times New Roman" w:hAnsi="Times New Roman" w:cs="Times New Roman"/>
          <w:spacing w:val="-3"/>
          <w:sz w:val="28"/>
          <w:szCs w:val="28"/>
        </w:rPr>
        <w:t>Зеленчукского муниципального района на</w:t>
      </w:r>
      <w:r w:rsidR="00E26C9F">
        <w:rPr>
          <w:rFonts w:ascii="Times New Roman" w:hAnsi="Times New Roman" w:cs="Times New Roman"/>
          <w:spacing w:val="-3"/>
          <w:sz w:val="28"/>
          <w:szCs w:val="28"/>
        </w:rPr>
        <w:t xml:space="preserve"> долгосрочный период </w:t>
      </w:r>
      <w:r w:rsidRPr="0093486D">
        <w:rPr>
          <w:rFonts w:ascii="Times New Roman" w:hAnsi="Times New Roman" w:cs="Times New Roman"/>
          <w:spacing w:val="-3"/>
          <w:sz w:val="28"/>
          <w:szCs w:val="28"/>
        </w:rPr>
        <w:t>2017-20</w:t>
      </w:r>
      <w:r w:rsidR="00E26C9F">
        <w:rPr>
          <w:rFonts w:ascii="Times New Roman" w:hAnsi="Times New Roman" w:cs="Times New Roman"/>
          <w:spacing w:val="-3"/>
          <w:sz w:val="28"/>
          <w:szCs w:val="28"/>
        </w:rPr>
        <w:t>22</w:t>
      </w:r>
      <w:r w:rsidRPr="0093486D">
        <w:rPr>
          <w:rFonts w:ascii="Times New Roman" w:hAnsi="Times New Roman" w:cs="Times New Roman"/>
          <w:spacing w:val="-3"/>
          <w:sz w:val="28"/>
          <w:szCs w:val="28"/>
        </w:rPr>
        <w:t xml:space="preserve"> год</w:t>
      </w:r>
      <w:r w:rsidR="00E14F16">
        <w:rPr>
          <w:rFonts w:ascii="Times New Roman" w:hAnsi="Times New Roman" w:cs="Times New Roman"/>
          <w:spacing w:val="-3"/>
          <w:sz w:val="28"/>
          <w:szCs w:val="28"/>
        </w:rPr>
        <w:t>ов</w:t>
      </w:r>
    </w:p>
    <w:p w:rsidR="00E92819" w:rsidRPr="0093486D" w:rsidRDefault="00E92819" w:rsidP="009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6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1297" w:rsidRPr="00453A06" w:rsidRDefault="00434656" w:rsidP="00434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бюджетной политики </w:t>
      </w:r>
      <w:r w:rsid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долгосрочный период, в соответствии со статьей 170.1</w:t>
      </w:r>
      <w:r w:rsidR="00B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постановлением администрации </w:t>
      </w:r>
      <w:r w:rsid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46794D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4D">
        <w:rPr>
          <w:rFonts w:ascii="Times New Roman" w:eastAsia="Times New Roman" w:hAnsi="Times New Roman" w:cs="Times New Roman"/>
          <w:sz w:val="28"/>
          <w:szCs w:val="28"/>
          <w:lang w:eastAsia="ru-RU"/>
        </w:rPr>
        <w:t>1019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долгосрочный период»</w:t>
      </w:r>
    </w:p>
    <w:p w:rsidR="00E92819" w:rsidRPr="0093486D" w:rsidRDefault="00E92819" w:rsidP="009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74D7" w:rsidRDefault="00FF74D7" w:rsidP="001F358B">
      <w:pPr>
        <w:pStyle w:val="a7"/>
        <w:shd w:val="clear" w:color="auto" w:fill="FFFFFF"/>
        <w:tabs>
          <w:tab w:val="left" w:pos="9747"/>
        </w:tabs>
        <w:spacing w:after="0"/>
        <w:ind w:left="142" w:right="4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2819" w:rsidRPr="002666C9" w:rsidRDefault="00025B3D" w:rsidP="001F358B">
      <w:pPr>
        <w:pStyle w:val="a7"/>
        <w:shd w:val="clear" w:color="auto" w:fill="FFFFFF"/>
        <w:tabs>
          <w:tab w:val="left" w:pos="9747"/>
        </w:tabs>
        <w:spacing w:after="0"/>
        <w:ind w:left="142" w:right="49" w:hanging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58B">
        <w:rPr>
          <w:rFonts w:ascii="Times New Roman" w:hAnsi="Times New Roman" w:cs="Times New Roman"/>
          <w:sz w:val="28"/>
          <w:szCs w:val="28"/>
        </w:rPr>
        <w:t xml:space="preserve">  </w:t>
      </w:r>
      <w:r w:rsidR="00B51609">
        <w:rPr>
          <w:rFonts w:ascii="Times New Roman" w:hAnsi="Times New Roman" w:cs="Times New Roman"/>
          <w:sz w:val="28"/>
          <w:szCs w:val="28"/>
        </w:rPr>
        <w:t>1.</w:t>
      </w:r>
      <w:r w:rsidR="00E92819" w:rsidRPr="002666C9">
        <w:rPr>
          <w:rFonts w:ascii="Times New Roman" w:hAnsi="Times New Roman" w:cs="Times New Roman"/>
          <w:sz w:val="28"/>
          <w:szCs w:val="28"/>
        </w:rPr>
        <w:t>Утвердить</w:t>
      </w:r>
      <w:r w:rsidR="006116A0" w:rsidRPr="002666C9">
        <w:rPr>
          <w:rFonts w:ascii="Times New Roman" w:hAnsi="Times New Roman" w:cs="Times New Roman"/>
          <w:sz w:val="28"/>
          <w:szCs w:val="28"/>
        </w:rPr>
        <w:t xml:space="preserve"> бюджетный прогноз </w:t>
      </w:r>
      <w:r w:rsidR="00E92819" w:rsidRPr="002666C9">
        <w:rPr>
          <w:rFonts w:ascii="Times New Roman" w:hAnsi="Times New Roman" w:cs="Times New Roman"/>
          <w:spacing w:val="-3"/>
          <w:sz w:val="28"/>
          <w:szCs w:val="28"/>
        </w:rPr>
        <w:t xml:space="preserve">Зеленчукского муниципального района на </w:t>
      </w:r>
      <w:r w:rsidR="006116A0" w:rsidRPr="002666C9">
        <w:rPr>
          <w:rFonts w:ascii="Times New Roman" w:hAnsi="Times New Roman" w:cs="Times New Roman"/>
          <w:spacing w:val="-3"/>
          <w:sz w:val="28"/>
          <w:szCs w:val="28"/>
        </w:rPr>
        <w:t>долгосрочный период 2</w:t>
      </w:r>
      <w:r w:rsidR="00E92819" w:rsidRPr="002666C9">
        <w:rPr>
          <w:rFonts w:ascii="Times New Roman" w:hAnsi="Times New Roman" w:cs="Times New Roman"/>
          <w:spacing w:val="-3"/>
          <w:sz w:val="28"/>
          <w:szCs w:val="28"/>
        </w:rPr>
        <w:t>017-20</w:t>
      </w:r>
      <w:r w:rsidR="006116A0" w:rsidRPr="002666C9">
        <w:rPr>
          <w:rFonts w:ascii="Times New Roman" w:hAnsi="Times New Roman" w:cs="Times New Roman"/>
          <w:spacing w:val="-3"/>
          <w:sz w:val="28"/>
          <w:szCs w:val="28"/>
        </w:rPr>
        <w:t>22</w:t>
      </w:r>
      <w:r w:rsidR="00E92819" w:rsidRPr="002666C9">
        <w:rPr>
          <w:rFonts w:ascii="Times New Roman" w:hAnsi="Times New Roman" w:cs="Times New Roman"/>
          <w:spacing w:val="-3"/>
          <w:sz w:val="28"/>
          <w:szCs w:val="28"/>
        </w:rPr>
        <w:t xml:space="preserve"> год</w:t>
      </w:r>
      <w:r w:rsidR="00FC0B20" w:rsidRPr="002666C9">
        <w:rPr>
          <w:rFonts w:ascii="Times New Roman" w:hAnsi="Times New Roman" w:cs="Times New Roman"/>
          <w:spacing w:val="-3"/>
          <w:sz w:val="28"/>
          <w:szCs w:val="28"/>
        </w:rPr>
        <w:t xml:space="preserve">ов </w:t>
      </w:r>
      <w:r w:rsidR="002666C9" w:rsidRPr="002666C9">
        <w:rPr>
          <w:rFonts w:ascii="Times New Roman" w:hAnsi="Times New Roman" w:cs="Times New Roman"/>
          <w:spacing w:val="-3"/>
          <w:sz w:val="28"/>
          <w:szCs w:val="28"/>
        </w:rPr>
        <w:t xml:space="preserve">согласно </w:t>
      </w:r>
      <w:r w:rsidR="00FC0B20" w:rsidRPr="002666C9">
        <w:rPr>
          <w:rFonts w:ascii="Times New Roman" w:hAnsi="Times New Roman" w:cs="Times New Roman"/>
          <w:spacing w:val="-3"/>
          <w:sz w:val="28"/>
          <w:szCs w:val="28"/>
        </w:rPr>
        <w:t>приложени</w:t>
      </w:r>
      <w:r w:rsidR="00B87740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="002666C9" w:rsidRPr="002666C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666C9" w:rsidRPr="00025B3D" w:rsidRDefault="001F358B" w:rsidP="001F358B">
      <w:pPr>
        <w:shd w:val="clear" w:color="auto" w:fill="FFFFFF"/>
        <w:tabs>
          <w:tab w:val="left" w:pos="9747"/>
        </w:tabs>
        <w:spacing w:after="0"/>
        <w:ind w:left="142" w:right="49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25B3D">
        <w:rPr>
          <w:rFonts w:ascii="Times New Roman" w:hAnsi="Times New Roman" w:cs="Times New Roman"/>
          <w:spacing w:val="-3"/>
          <w:sz w:val="28"/>
          <w:szCs w:val="28"/>
        </w:rPr>
        <w:t>2.Настоящее постановление вступает в силу</w:t>
      </w:r>
      <w:r w:rsidR="000954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25B3D">
        <w:rPr>
          <w:rFonts w:ascii="Times New Roman" w:hAnsi="Times New Roman" w:cs="Times New Roman"/>
          <w:spacing w:val="-3"/>
          <w:sz w:val="28"/>
          <w:szCs w:val="28"/>
        </w:rPr>
        <w:t xml:space="preserve"> со дня его официального опубликования</w:t>
      </w:r>
      <w:r w:rsidR="004839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8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и </w:t>
      </w:r>
      <w:r w:rsidR="00483915" w:rsidRPr="00A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01.01.201</w:t>
      </w:r>
      <w:r w:rsidR="004839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915" w:rsidRPr="00A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819" w:rsidRPr="0093486D" w:rsidRDefault="00E92819" w:rsidP="0093486D">
      <w:pPr>
        <w:shd w:val="clear" w:color="auto" w:fill="FFFFFF"/>
        <w:tabs>
          <w:tab w:val="left" w:pos="9000"/>
          <w:tab w:val="left" w:pos="9405"/>
          <w:tab w:val="left" w:pos="9747"/>
        </w:tabs>
        <w:spacing w:before="266" w:after="0" w:line="259" w:lineRule="exac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E92819" w:rsidRPr="0093486D" w:rsidRDefault="00E92819" w:rsidP="009348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Зеленчукского </w:t>
      </w:r>
    </w:p>
    <w:p w:rsidR="00E92819" w:rsidRPr="0093486D" w:rsidRDefault="00E92819" w:rsidP="009348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     С.И. Самоходкин</w:t>
      </w:r>
    </w:p>
    <w:p w:rsidR="00E92819" w:rsidRPr="0093486D" w:rsidRDefault="00E92819" w:rsidP="009348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740" w:rsidRDefault="00B87740" w:rsidP="009348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740" w:rsidRDefault="00B87740" w:rsidP="00906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40" w:rsidRDefault="00B87740" w:rsidP="00906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40" w:rsidRDefault="00B87740" w:rsidP="00906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1B" w:rsidRDefault="0024071B" w:rsidP="00906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40" w:rsidRDefault="00B87740" w:rsidP="00906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D8" w:rsidRDefault="009B1217" w:rsidP="00A00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00FD8" w:rsidRDefault="00A00FD8" w:rsidP="00A00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217"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17"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</w:p>
    <w:p w:rsidR="009B1217" w:rsidRDefault="009B1217" w:rsidP="00A00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0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B1217" w:rsidRDefault="009B1217" w:rsidP="00A00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00FD8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</w:t>
      </w:r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proofErr w:type="gramEnd"/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1086</w:t>
      </w:r>
    </w:p>
    <w:p w:rsidR="009B1217" w:rsidRPr="009B1217" w:rsidRDefault="009B1217" w:rsidP="00A00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17" w:rsidRPr="00E0534C" w:rsidRDefault="009B1217" w:rsidP="009B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БЮДЖЕТНЫЙ ПРОГНОЗ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ЗЕЛЕНЧУКСКОГО МУНИЦИПАЛЬНОГО РАЙОНА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ДОЛГОСРОЧНЫЙ ПЕРИОД </w:t>
      </w:r>
      <w:r w:rsidR="0032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2017-</w:t>
      </w: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32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Цели, задачи реализации бюджетной и долговой политики Зеле</w:t>
      </w:r>
      <w:r w:rsid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нчукского муниципального района</w:t>
      </w:r>
    </w:p>
    <w:p w:rsidR="00972642" w:rsidRDefault="00972642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Зеленчукского муниципального района на долгосрочный период до 202</w:t>
      </w:r>
      <w:r w:rsidR="00972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бюджетный прогноз) разработан с учетом основных направлений бюджетной и налоговой политики Зеленчукского муниципального района</w:t>
      </w:r>
      <w:r w:rsidR="00054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налогового и бюджетного законодательства, действующего на момент его составления.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долгосрочного бюджетного планирования в Зеленчукском муниципальном районе является обеспечение предсказуемости динамики доходов и расходов  бюджета Зеленчукского муниципального района, что позволяет оценивать факторы, влияющие на изменение объема доходов и расходов. 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долгосрочного бюджетного планирования состоит в увязке проводимой бюджетной политики с задачами по созданию долговременной устойчивости экономики, сохранению и повышению уровня и качества жизни населения Зеленчукского муниципального района.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Зеленчукского муниципального района на долгосрочный период должна в полной мере учитывать прогнозируемые тенденции развития экономики района и предусматривать меры по минимизации их неблагоприятного влияния на качество жизни граждан.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должна быть направлена на повышение эффективности и результативности управления бюджетными средствами при достижении приоритетных целей социально-экономического развития Зеленчукского муниципального  района. Эффективная и ответственная бюджетная политика является важнейшей предпосылкой для улучшения качества жизни населения.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 основными направлениями работы должны стать мероприятия, обеспечивающие бюджетную устойчивость.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долгосрочная бюджетная политика по формированию доходов бюджета будет основана на следующих подходах: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способствовать росту экономических показателей, привлечению инвестиций и капитальных вложений за счет собственных источников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хозяйствующих субъектов всех форм собственности и организационно-правовых форм;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продолжить работу по актуализации налоговой базы по земельному налогу, нал</w:t>
      </w:r>
      <w:r w:rsidR="00CB7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 на имущество физических лиц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формирования объективной налогооблагаемой базы по данным налогам и росту доходов консолидированного бюджета;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осуществлять качество администрирования доходов бюджета района;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4)обеспечить эффективность управления муниципальной собственностью Зеленчукского муниципального района. 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реализации бюджетной политики необходимо исходить из решения следующих основных задач: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</w:t>
      </w:r>
      <w:r w:rsidR="00CB7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и сбалансированности местного бюджета, укрепление доходной базы, формирование оптимальной структуры расходов бюджета, ориентированной на социально - экономическую стабильность. 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мерой, способствующей проведению эффективной бюджетной политики, является расширение горизонтов бюджетного планирования.</w:t>
      </w:r>
    </w:p>
    <w:p w:rsidR="009B1217" w:rsidRPr="00E0534C" w:rsidRDefault="003B419C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расходов, формирование бюджетных параметров исходя из четкого определения приоритетов и необходимости безусловного исполнения действующих расходных обязательств, в том числе с учетом их оптимизации и эффективности исполнения. 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осуществлять взвешенный подход к принятию новых расходных обязательств и ликвидировать неэффективные бюджетные расходы.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местного бюджета необходимо обеспечить максимальную экономию бюджетных средств за счет их рационального использования.</w:t>
      </w:r>
    </w:p>
    <w:p w:rsidR="009B1217" w:rsidRPr="00E0534C" w:rsidRDefault="003B419C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мероприятий, направленных на повышение эффективности социально-экономической политики муниципального образования.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мероприятия социально-экономической политики, реализуемые в рамках муниципальных программ, должны иметь надежное финансовое обеспечение. Должны быть определены объемы финансовых ресурсов, необходимые для достижения конкретных целей и определенных результатов.</w:t>
      </w:r>
    </w:p>
    <w:p w:rsidR="009B1217" w:rsidRPr="00E0534C" w:rsidRDefault="003B419C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оказания муниципальных услуг путем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граждан муниципального образования, в том числе на платной основе.</w:t>
      </w:r>
    </w:p>
    <w:p w:rsidR="009B1217" w:rsidRPr="00E0534C" w:rsidRDefault="003B419C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системы муниципального финансового контроля, внутреннего финансового контроля.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муниципального финансового контроля, контроля в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закупок, а также внутреннего финансового контроля будет способствовать сокращению и предотвращению нарушений законодательства о контрактной системе, повышению эффективности бюджетных расходов.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 бюджетных расходов.</w:t>
      </w:r>
    </w:p>
    <w:p w:rsidR="009B1217" w:rsidRPr="00E0534C" w:rsidRDefault="00CB6B39" w:rsidP="009B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открытости и прозрачности муниципальных финансов Зеленчукского муниципального района, в том числе за счет публикации «Бюджета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граждан», принят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Зеленчукского муниципального района о бюджете, а также сведений об исполнении бюджета. 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информационной прозрачности деятельности органов местного самоуправления Зеленчукского муниципального района, принимающих участие в подготовке проекта бюджета, исполнении </w:t>
      </w:r>
      <w:proofErr w:type="gramStart"/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бюджета</w:t>
      </w:r>
      <w:proofErr w:type="gramEnd"/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составлении бюджетной отчетности, способствует повышению качества их работы и системы управления общественными финансами в целом. </w:t>
      </w:r>
    </w:p>
    <w:p w:rsidR="009B1217" w:rsidRPr="00E0534C" w:rsidRDefault="00C80B2F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финансовых взаимоотношений с бюджетами сельских поселений.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межбюджетных отношений должно быть направлено на повышение самостоятельности сельских бюджетов, поддержание их сбалансированности, качественное управление общественными финансами. </w:t>
      </w:r>
    </w:p>
    <w:p w:rsidR="009B1217" w:rsidRPr="00E0534C" w:rsidRDefault="00C80B2F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взвешенной долговой политики, направленной на:</w:t>
      </w:r>
    </w:p>
    <w:p w:rsidR="009B1217" w:rsidRPr="00E0534C" w:rsidRDefault="0009543D" w:rsidP="00C80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B1217" w:rsidRPr="00E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роста муниципального долга Зеленчукского муниципального района за счет последовательного сокращения дефицита местного бюджета;</w:t>
      </w:r>
    </w:p>
    <w:p w:rsidR="009B1217" w:rsidRPr="00E0534C" w:rsidRDefault="0009543D" w:rsidP="00C80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B1217" w:rsidRPr="00E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осуществление муниципальных заимствований исходя из необходимости безусловного исполнения расходных и долговых обязательств Зеленчукского муниципального района;</w:t>
      </w:r>
    </w:p>
    <w:p w:rsidR="009B1217" w:rsidRPr="00E0534C" w:rsidRDefault="0009543D" w:rsidP="00030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B1217" w:rsidRPr="00E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минимизацию расходов на обслуживание долговых обязательств Зеленчукского муниципального района.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экономической нестабильности наиболее негативными последствиями и рисками для бюджета муниципального образования являются:</w:t>
      </w:r>
    </w:p>
    <w:p w:rsidR="009B1217" w:rsidRPr="00E0534C" w:rsidRDefault="00B00801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дефицита местных бюджетов, рост муниципального долга;</w:t>
      </w:r>
    </w:p>
    <w:p w:rsidR="009B1217" w:rsidRPr="00E0534C" w:rsidRDefault="00B00801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ужесточение условий для муниципальных заимствований;</w:t>
      </w:r>
    </w:p>
    <w:p w:rsidR="009B1217" w:rsidRPr="00E0534C" w:rsidRDefault="004325F0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сокращение межбюджетных трансфертов из федерального и республиканского бюджетов;</w:t>
      </w:r>
    </w:p>
    <w:p w:rsidR="009B1217" w:rsidRPr="00E0534C" w:rsidRDefault="004325F0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передача дополнительных расходных обязательств на муниципальный уровень.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минимизации бюджетных рисков:</w:t>
      </w:r>
    </w:p>
    <w:p w:rsidR="009B1217" w:rsidRPr="00E0534C" w:rsidRDefault="004325F0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доходного потенциала Зеленчукского муниципального района;</w:t>
      </w:r>
    </w:p>
    <w:p w:rsidR="009B1217" w:rsidRPr="00E0534C" w:rsidRDefault="004325F0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максимальное наполнение доходной </w:t>
      </w:r>
      <w:proofErr w:type="gramStart"/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местного</w:t>
      </w:r>
      <w:proofErr w:type="gramEnd"/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для осуществления социально значимых расходов ( образование, культур</w:t>
      </w:r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</w:t>
      </w:r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6F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населения);</w:t>
      </w:r>
    </w:p>
    <w:p w:rsidR="009B1217" w:rsidRPr="00E0534C" w:rsidRDefault="002542D3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поддержание экономически безопасного уровня муниципального долга Зеленчукского муниципального района;</w:t>
      </w:r>
    </w:p>
    <w:p w:rsidR="009B1217" w:rsidRPr="00E0534C" w:rsidRDefault="002542D3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активное участие в привлечении средств федерального и республиканского бюджетов, в том числе в рамках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 государственных программ.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 необходимо продолжать работу по повышению качества управления муниципальными финансами Зеленчукского муниципального района и эффективности использования бюджетных средств.</w:t>
      </w:r>
    </w:p>
    <w:p w:rsidR="009B1217" w:rsidRPr="00E0534C" w:rsidRDefault="00A00FD8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P90#P90" w:history="1">
        <w:r w:rsidR="009B1217" w:rsidRPr="00E05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характеристик  бюджета Зеленчукского муниципального района и </w:t>
      </w:r>
      <w:r w:rsidR="0060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объемы расходов бюджета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 </w:t>
      </w:r>
      <w:r w:rsidR="0060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их действия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</w:t>
      </w:r>
      <w:r w:rsidR="0081271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1,2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Б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юджетному прогнозу</w:t>
      </w:r>
      <w:bookmarkStart w:id="0" w:name="Par58"/>
      <w:bookmarkEnd w:id="0"/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A72" w:rsidRDefault="00D77A72" w:rsidP="00D77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A72" w:rsidRPr="00E0534C" w:rsidRDefault="008C7AEB" w:rsidP="00D77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7A72" w:rsidRPr="00E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итоги развития  бюджета Зеленчукского муниципального района</w:t>
      </w:r>
    </w:p>
    <w:p w:rsidR="008C7AEB" w:rsidRDefault="008C7AEB" w:rsidP="00D77A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72" w:rsidRPr="00E0534C" w:rsidRDefault="00D77A72" w:rsidP="00D77A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проекта бюджета Зеленчукского муниципального района на 2017 год осуществлял</w:t>
      </w:r>
      <w:r w:rsidR="001A5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условиях ограниченности финансовых ресурсов. </w:t>
      </w:r>
    </w:p>
    <w:p w:rsidR="00D77A72" w:rsidRPr="00E0534C" w:rsidRDefault="00D77A72" w:rsidP="00D77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3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суммарного налогового потенциала и расчетных налоговых и неналоговых доходов бюджета Зеленчукского муниципального района на 2017 год произведена на основе показателей прогноза социально – экономического развития </w:t>
      </w:r>
      <w:r w:rsidR="001A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 год  с учетом роста фонда оплаты труда, оценки ожидаемых поступлений соответствующих доходо</w:t>
      </w:r>
      <w:r w:rsidR="001A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районный бюджет в 2016 году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показателей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доходов, Межрайонной инспекции Федеральной налоговой службы  о налогооблагаемой базе районного бюджета, а также с учетом изменений, вносимых в бюджетное и налоговое законодательство Российской Федерации.</w:t>
      </w:r>
      <w:r w:rsidRPr="00E05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72" w:rsidRPr="00E0534C" w:rsidRDefault="00D77A72" w:rsidP="00D77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34C">
        <w:rPr>
          <w:rFonts w:ascii="Times New Roman" w:hAnsi="Times New Roman" w:cs="Times New Roman"/>
          <w:sz w:val="28"/>
          <w:szCs w:val="28"/>
        </w:rPr>
        <w:t xml:space="preserve">           При оценке налоговых</w:t>
      </w:r>
      <w:r w:rsidR="00007D46">
        <w:rPr>
          <w:rFonts w:ascii="Times New Roman" w:hAnsi="Times New Roman" w:cs="Times New Roman"/>
          <w:sz w:val="28"/>
          <w:szCs w:val="28"/>
        </w:rPr>
        <w:t xml:space="preserve"> и неналоговых доходов бюджета </w:t>
      </w:r>
      <w:r w:rsidRPr="00E0534C">
        <w:rPr>
          <w:rFonts w:ascii="Times New Roman" w:hAnsi="Times New Roman" w:cs="Times New Roman"/>
          <w:sz w:val="28"/>
          <w:szCs w:val="28"/>
        </w:rPr>
        <w:t>предусмотрен</w:t>
      </w:r>
      <w:r w:rsidR="00007D46">
        <w:rPr>
          <w:rFonts w:ascii="Times New Roman" w:hAnsi="Times New Roman" w:cs="Times New Roman"/>
          <w:sz w:val="28"/>
          <w:szCs w:val="28"/>
        </w:rPr>
        <w:t>ы</w:t>
      </w:r>
      <w:r w:rsidRPr="00E0534C">
        <w:rPr>
          <w:rFonts w:ascii="Times New Roman" w:hAnsi="Times New Roman" w:cs="Times New Roman"/>
          <w:sz w:val="28"/>
          <w:szCs w:val="28"/>
        </w:rPr>
        <w:t xml:space="preserve"> максимально возможный уровень собираемости налогов, поступление возможной к взысканию недоимки прошлых периодов, а также меры по совершенствованию администрирования.</w:t>
      </w:r>
    </w:p>
    <w:p w:rsidR="00D77A72" w:rsidRPr="00E0534C" w:rsidRDefault="00D77A72" w:rsidP="00D77A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планирования расходов бюджета Зеленчукского муниципального района на 2017 год были  приняты бюджетные ассигнования на 2016 год. При этом были учтены расходы на выполнение указов Президента Российской Федерации</w:t>
      </w:r>
      <w:r w:rsidR="00007D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007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которых</w:t>
      </w:r>
      <w:r w:rsidR="00A6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недостатка средств </w:t>
      </w:r>
      <w:proofErr w:type="gramStart"/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работа</w:t>
      </w:r>
      <w:proofErr w:type="gramEnd"/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оптимизации расходов. </w:t>
      </w:r>
    </w:p>
    <w:p w:rsidR="00D77A72" w:rsidRPr="00E0534C" w:rsidRDefault="00D77A72" w:rsidP="00D77A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Зеленчукского муниципального района сохранил социальную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ориентированность: основную часть общего объема расходов планируется направить на финансирование отраслей социальной сферы.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Зеленчукского муниципального района на 2017 год  был принят и утвержден решением Совета Зеленчукского муниципального района третьего созыва от 27.12.2016 №145 «О бюджете Зеленчукского муниципального района Карачаево-Черкесской Республики на 2017 год» по доходам в сумме 831186,9 тыс. руб., из них: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налоговым и неналоговым доходам                 180365,2 тыс. руб.</w:t>
      </w:r>
    </w:p>
    <w:p w:rsidR="00B057B4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дотация на выравнивание уровня </w:t>
      </w:r>
    </w:p>
    <w:p w:rsidR="00D77A72" w:rsidRPr="00E0534C" w:rsidRDefault="00B057B4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обеспеченности              </w:t>
      </w:r>
      <w:r w:rsidR="00D77A72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7A72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63084,4 тыс. руб.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субвенции, субсидии и иные межбюджетные 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трансферты                                                         </w:t>
      </w:r>
      <w:r w:rsidR="00B0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587737,3 тыс. руб.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расходам  в сумме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831186,9 тыс. руб. 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</w:t>
      </w:r>
      <w:r w:rsidRPr="004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Зеленчукского муниципального района являются налог на доходы физических лиц, доходы от уплаты акцизов, налог на совокупный доход и налог на имущество юридических лиц, удельный вес которых составляет 91,2</w:t>
      </w:r>
      <w:r w:rsidRPr="00E053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4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 налоговых доходов и 91,1 процент к общему поступлению налоговых и неналоговых доходов.              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источником </w:t>
      </w:r>
      <w:r w:rsidRPr="004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доходы от использования имущества (арендная плата за земельные участки), что составляет 74,5 процентов от неналоговых доходов и 6,0 процентов от всех поступлений налоговых и неналоговых доходов. </w:t>
      </w:r>
    </w:p>
    <w:p w:rsidR="00D77A72" w:rsidRPr="00E0534C" w:rsidRDefault="001D6036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7A72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Остальная часть всех поступлений, все прочие доходы и сборы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72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2,9 процентов к общему поступлению налоговых и неналоговых доходов.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Расходы районного бюджета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были сформированы </w:t>
      </w:r>
      <w:r w:rsidRPr="00E05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сохранения недостатка ресурсов для удовлетворения потребностей бюджетной сферы с учетом необходимости решения важнейших социальных и экономических задач и обеспечения  расходных обязательств Зеленчукского муниципального района.</w:t>
      </w:r>
    </w:p>
    <w:p w:rsidR="00D77A72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 бюджетных ассигнований на 2017 год был определен исходя из минимально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финансового обеспечения действующих расходных обязательств, с учетом основных направлений бюджетной политики на 2017 год и плановый период 2018 и 2019 годов.</w:t>
      </w:r>
    </w:p>
    <w:p w:rsidR="00D77A72" w:rsidRPr="009F759F" w:rsidRDefault="00D77A72" w:rsidP="00C950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уточненный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Зеленчукского муниципального района по доходам составил 973213,5 тыс. руб. и по расходам </w:t>
      </w:r>
      <w:r w:rsidR="00A9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975232,4 тыс. руб., из них:  </w:t>
      </w:r>
    </w:p>
    <w:p w:rsidR="00D77A72" w:rsidRPr="009F759F" w:rsidRDefault="00D77A72" w:rsidP="00C9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               177298,3 тыс. руб.</w:t>
      </w:r>
    </w:p>
    <w:p w:rsidR="00A908E8" w:rsidRDefault="00D77A72" w:rsidP="00C9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дотация на выравнивание уровня </w:t>
      </w:r>
    </w:p>
    <w:p w:rsidR="00D77A72" w:rsidRPr="009F759F" w:rsidRDefault="00A908E8" w:rsidP="00C9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бюджетной обеспеченности              </w:t>
      </w:r>
      <w:r w:rsidR="00D77A72"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7A72"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63084,4 тыс. руб.</w:t>
      </w:r>
    </w:p>
    <w:p w:rsidR="00D77A72" w:rsidRPr="009F759F" w:rsidRDefault="00D77A72" w:rsidP="00C9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дотация на поддержку мер по обеспечению </w:t>
      </w:r>
    </w:p>
    <w:p w:rsidR="00D77A72" w:rsidRPr="009F759F" w:rsidRDefault="00D77A72" w:rsidP="00C9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сбалансированности бюджетов                                </w:t>
      </w:r>
      <w:r w:rsidR="00A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6000,0 тыс. руб. </w:t>
      </w:r>
    </w:p>
    <w:p w:rsidR="00D77A72" w:rsidRPr="009F759F" w:rsidRDefault="00D77A72" w:rsidP="00C9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субвенции, субсидии и иные межбюджетные </w:t>
      </w:r>
    </w:p>
    <w:p w:rsidR="00D77A72" w:rsidRDefault="00D77A72" w:rsidP="00C950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трансферты </w:t>
      </w:r>
      <w:r w:rsidR="005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>726830,8 тыс. руб.</w:t>
      </w:r>
    </w:p>
    <w:p w:rsidR="00D77A72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72" w:rsidRPr="009F759F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72" w:rsidRDefault="00D77A72" w:rsidP="00D77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F759F">
        <w:rPr>
          <w:rFonts w:ascii="Times New Roman" w:hAnsi="Times New Roman" w:cs="Times New Roman"/>
          <w:sz w:val="28"/>
          <w:szCs w:val="28"/>
        </w:rPr>
        <w:t>Объем исполненных доходов в бюджет Зеленчукского муниципального района за отчетный период составил 689248,6 тыс. руб.</w:t>
      </w:r>
      <w:r w:rsidR="008C2778">
        <w:rPr>
          <w:rFonts w:ascii="Times New Roman" w:hAnsi="Times New Roman" w:cs="Times New Roman"/>
          <w:sz w:val="28"/>
          <w:szCs w:val="28"/>
        </w:rPr>
        <w:t xml:space="preserve"> </w:t>
      </w:r>
      <w:r w:rsidRPr="009F759F">
        <w:rPr>
          <w:rFonts w:ascii="Times New Roman" w:hAnsi="Times New Roman" w:cs="Times New Roman"/>
          <w:sz w:val="28"/>
          <w:szCs w:val="28"/>
        </w:rPr>
        <w:t xml:space="preserve"> или  70,8 процент</w:t>
      </w:r>
      <w:r w:rsidR="008C2778">
        <w:rPr>
          <w:rFonts w:ascii="Times New Roman" w:hAnsi="Times New Roman" w:cs="Times New Roman"/>
          <w:sz w:val="28"/>
          <w:szCs w:val="28"/>
        </w:rPr>
        <w:t>ов</w:t>
      </w:r>
      <w:r w:rsidRPr="009F759F">
        <w:rPr>
          <w:rFonts w:ascii="Times New Roman" w:hAnsi="Times New Roman" w:cs="Times New Roman"/>
          <w:sz w:val="28"/>
          <w:szCs w:val="28"/>
        </w:rPr>
        <w:t xml:space="preserve"> к уточненному плану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A72" w:rsidRPr="009F759F" w:rsidRDefault="00D77A72" w:rsidP="00D77A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Расходная часть бюджета Зеленчукского муниципального района за 9 месяцев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9F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сполнена на  686075,5 тыс. руб. (в том числе субсидии бюджетным учреждениям </w:t>
      </w:r>
      <w:r w:rsidR="00A4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135813,8 тыс. руб.) при годовом назначении 975232,4 тыс. руб. или  70,3 процента.</w:t>
      </w:r>
    </w:p>
    <w:p w:rsidR="009B1217" w:rsidRPr="00E0534C" w:rsidRDefault="009B1217" w:rsidP="009B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217" w:rsidRPr="009B1217" w:rsidRDefault="009B1217" w:rsidP="009B1217">
      <w:pPr>
        <w:spacing w:line="240" w:lineRule="auto"/>
        <w:ind w:right="-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9B1217" w:rsidRPr="009B1217" w:rsidRDefault="009B1217" w:rsidP="009B1217">
      <w:pPr>
        <w:spacing w:line="240" w:lineRule="auto"/>
        <w:ind w:right="-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Зеленчукского</w:t>
      </w:r>
    </w:p>
    <w:p w:rsidR="009B1217" w:rsidRPr="009B1217" w:rsidRDefault="009B1217" w:rsidP="009B1217">
      <w:pPr>
        <w:spacing w:line="240" w:lineRule="auto"/>
        <w:ind w:right="-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Ф.А. Кагиева</w:t>
      </w: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P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FD8" w:rsidRDefault="00A00FD8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FD8" w:rsidRDefault="00A00FD8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FD8" w:rsidRDefault="00A00FD8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FD8" w:rsidRDefault="00A00FD8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FD8" w:rsidRDefault="00A00FD8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FD8" w:rsidRDefault="00A00FD8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FD8" w:rsidRDefault="00A00FD8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0FD8" w:rsidRDefault="00A00FD8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7" w:rsidRDefault="009B1217" w:rsidP="00BB272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0954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юджетному прогнозу </w:t>
      </w:r>
    </w:p>
    <w:p w:rsidR="009B1217" w:rsidRDefault="009B1217" w:rsidP="00BB272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Зеленчукского муниципального района </w:t>
      </w:r>
    </w:p>
    <w:p w:rsidR="009B1217" w:rsidRDefault="009B1217" w:rsidP="00BB272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</w:t>
      </w:r>
      <w:r w:rsidR="0059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2017-2022 годов</w:t>
      </w:r>
    </w:p>
    <w:p w:rsidR="009B1217" w:rsidRPr="00603601" w:rsidRDefault="009B1217" w:rsidP="00BB272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1217" w:rsidRPr="00603601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6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ПРОГНОЗ </w:t>
      </w:r>
    </w:p>
    <w:p w:rsidR="009B1217" w:rsidRPr="00603601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601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основных характеристик бюджета Зеленчукского муниципального района</w:t>
      </w:r>
    </w:p>
    <w:p w:rsidR="009B1217" w:rsidRPr="007B7BE0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тыс.руб.</w:t>
      </w:r>
    </w:p>
    <w:tbl>
      <w:tblPr>
        <w:tblW w:w="10059" w:type="dxa"/>
        <w:tblInd w:w="-4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497"/>
        <w:gridCol w:w="851"/>
        <w:gridCol w:w="992"/>
        <w:gridCol w:w="992"/>
        <w:gridCol w:w="992"/>
        <w:gridCol w:w="957"/>
        <w:gridCol w:w="886"/>
        <w:gridCol w:w="992"/>
      </w:tblGrid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2016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2017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2018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2019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2020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2021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2022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</w:tr>
      <w:tr w:rsidR="009B1217" w:rsidRPr="007B7BE0" w:rsidTr="00772718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Доходы местного бюджета: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926891,8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C71F78" w:rsidRPr="00603601">
              <w:rPr>
                <w:rFonts w:ascii="Times New Roman" w:hAnsi="Times New Roman" w:cs="Times New Roman"/>
                <w:sz w:val="20"/>
                <w:szCs w:val="20"/>
              </w:rPr>
              <w:t>4303,9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246" w:rsidRPr="00603601">
              <w:rPr>
                <w:rFonts w:ascii="Times New Roman" w:hAnsi="Times New Roman" w:cs="Times New Roman"/>
                <w:sz w:val="20"/>
                <w:szCs w:val="20"/>
              </w:rPr>
              <w:t>81498,1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246" w:rsidRPr="00603601">
              <w:rPr>
                <w:rFonts w:ascii="Times New Roman" w:hAnsi="Times New Roman" w:cs="Times New Roman"/>
                <w:sz w:val="20"/>
                <w:szCs w:val="20"/>
              </w:rPr>
              <w:t>07567,7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246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455246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246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</w:tr>
      <w:tr w:rsidR="009B1217" w:rsidRPr="007B7BE0" w:rsidTr="00772718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-налоговые  и неналоговые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193244,4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71F78">
              <w:rPr>
                <w:rFonts w:ascii="Times New Roman" w:hAnsi="Times New Roman" w:cs="Times New Roman"/>
                <w:sz w:val="20"/>
                <w:szCs w:val="20"/>
              </w:rPr>
              <w:t>9844,0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75497,6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75973,8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76351,8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455246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455246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176351,8</w:t>
            </w: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- безвозмездные поступления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733647,4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795915,3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455246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31593,8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-межбюджетные трансферты, в т</w:t>
            </w:r>
            <w:r w:rsidR="00F318A3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 xml:space="preserve">ом </w:t>
            </w: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ч</w:t>
            </w:r>
            <w:r w:rsidR="00F318A3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исле</w:t>
            </w: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- иные 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8" w:rsidRPr="007B7BE0" w:rsidTr="00772718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8" w:rsidRPr="007B7BE0" w:rsidRDefault="00772718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1.2.3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8" w:rsidRPr="007B7BE0" w:rsidRDefault="00772718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ru-RU"/>
              </w:rPr>
              <w:t xml:space="preserve">Возврат остатков субсидий и субвенций </w:t>
            </w:r>
            <w:r w:rsidR="00390711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Расходы местного бюджета: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405A6C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6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81498,1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07567,7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rPr>
          <w:trHeight w:val="6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-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- за счет межбюджетных трансфертов, в т</w:t>
            </w:r>
            <w:r w:rsidR="00F318A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ом 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ч</w:t>
            </w:r>
            <w:r w:rsidR="00F318A3">
              <w:rPr>
                <w:rFonts w:ascii="Times New Roman" w:eastAsia="Times New Roman" w:hAnsi="Times New Roman"/>
                <w:szCs w:val="28"/>
                <w:lang w:eastAsia="ru-RU"/>
              </w:rPr>
              <w:t>исле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4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7" w:rsidRPr="007B7BE0" w:rsidRDefault="009B1217" w:rsidP="00F318A3">
            <w:pPr>
              <w:widowControl w:val="0"/>
              <w:autoSpaceDE w:val="0"/>
              <w:autoSpaceDN w:val="0"/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3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3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2.2.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- иные 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3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3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7" w:rsidRPr="00603601" w:rsidRDefault="009B1217" w:rsidP="00934E78">
            <w:pPr>
              <w:widowControl w:val="0"/>
              <w:autoSpaceDE w:val="0"/>
              <w:autoSpaceDN w:val="0"/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(профицит)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93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дефицита местного бюджета: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7" w:rsidRPr="00603601" w:rsidRDefault="009B1217" w:rsidP="00095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1217" w:rsidRPr="007B7BE0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Pr="007B7BE0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right="13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9CE" w:rsidRDefault="009B1217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Pr="009369AA" w:rsidRDefault="002849CE" w:rsidP="009369A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936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09543D" w:rsidRPr="009369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3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юджетному прогнозу </w:t>
      </w:r>
    </w:p>
    <w:p w:rsidR="002849CE" w:rsidRPr="009369AA" w:rsidRDefault="002849CE" w:rsidP="009369A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</w:t>
      </w:r>
    </w:p>
    <w:p w:rsidR="002849CE" w:rsidRPr="009369AA" w:rsidRDefault="002849CE" w:rsidP="009369A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2017-2022 годов</w:t>
      </w:r>
    </w:p>
    <w:p w:rsidR="009B1217" w:rsidRPr="009369AA" w:rsidRDefault="009B1217" w:rsidP="009369AA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17" w:rsidRDefault="009B1217" w:rsidP="009B1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1217" w:rsidRPr="0087522D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522D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ПРЕДЕЛЬНЫЕ ОБЪЕМЫ</w:t>
      </w: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</w:t>
      </w:r>
      <w:proofErr w:type="gramStart"/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муниципальных программ  на период их действия </w:t>
      </w:r>
    </w:p>
    <w:p w:rsidR="009369AA" w:rsidRPr="007B7BE0" w:rsidRDefault="009369AA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Pr="00906D26" w:rsidRDefault="009B1217" w:rsidP="009B1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тыс.руб.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992"/>
        <w:gridCol w:w="993"/>
        <w:gridCol w:w="992"/>
        <w:gridCol w:w="992"/>
        <w:gridCol w:w="1134"/>
        <w:gridCol w:w="992"/>
        <w:gridCol w:w="940"/>
        <w:gridCol w:w="53"/>
      </w:tblGrid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EC2638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="007533CB"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7533CB"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</w:tc>
      </w:tr>
      <w:tr w:rsidR="00BA1C0C" w:rsidRPr="00906D26" w:rsidTr="0077271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DC3AE5" w:rsidRDefault="00BA1C0C" w:rsidP="00EC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бюджета: 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81498,1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07567,7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B7BE0" w:rsidRDefault="009B1217" w:rsidP="00EC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Default="009B1217" w:rsidP="00EC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муниципальных </w:t>
            </w:r>
            <w:proofErr w:type="gramStart"/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  <w:r w:rsidR="0009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всего</w:t>
            </w:r>
            <w:proofErr w:type="gramEnd"/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71FD0" w:rsidRPr="007B7BE0" w:rsidRDefault="00371FD0" w:rsidP="00EC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183342,5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209251,9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218405,2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225867,2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B7BE0" w:rsidRDefault="009B1217" w:rsidP="00EC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DC3AE5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на 2017-2019</w:t>
            </w:r>
            <w:r w:rsidR="00DC3AE5">
              <w:rPr>
                <w:rFonts w:ascii="Times New Roman" w:hAnsi="Times New Roman" w:cs="Times New Roman"/>
              </w:rPr>
              <w:t xml:space="preserve"> годы</w:t>
            </w:r>
            <w:r w:rsidRPr="007F15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42136,4</w:t>
            </w:r>
          </w:p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8884,3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</w:tr>
      <w:tr w:rsidR="009B1217" w:rsidRPr="00906D26" w:rsidTr="009369AA">
        <w:trPr>
          <w:gridAfter w:val="1"/>
          <w:wAfter w:w="53" w:type="dxa"/>
          <w:trHeight w:val="3742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</w:t>
            </w:r>
            <w:r w:rsidRPr="007F1539">
              <w:rPr>
                <w:rFonts w:ascii="Times New Roman" w:hAnsi="Times New Roman" w:cs="Times New Roman"/>
              </w:rPr>
              <w:lastRenderedPageBreak/>
              <w:t>муниципального района»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35276</w:t>
            </w:r>
          </w:p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6840,4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7117,1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муниципальной системы образования Зеленчукского муниципального района на 2017-2020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85660,4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104007,2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110497,7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«Одаренные дети»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«Развитие дошкольного образования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23109,8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27772,6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30590,9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32793,5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 подпрограмма «Развитие системы отдыха и оздоровления детей»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подпрограмма </w:t>
            </w:r>
            <w:r w:rsidRPr="007F1539">
              <w:rPr>
                <w:rFonts w:ascii="Times New Roman" w:hAnsi="Times New Roman" w:cs="Times New Roman"/>
              </w:rPr>
              <w:lastRenderedPageBreak/>
              <w:t>«Развитие общего образования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35178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42595,4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44466,6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«Развитие дополнительного образования детей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18797,9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19606,2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21179,1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«Другие вопросы образования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6154,2</w:t>
            </w: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</w:t>
            </w:r>
            <w:r>
              <w:rPr>
                <w:rFonts w:ascii="Times New Roman" w:hAnsi="Times New Roman" w:cs="Times New Roman"/>
              </w:rPr>
              <w:t>Безопасность образовательного учреждения</w:t>
            </w:r>
            <w:r w:rsidRPr="007F15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«Обеспечение реализации муниципальной программы и прочие мероприятия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 программа «Молодежная политика  Зеленчукского муниципального района 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7F1539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7F1539">
              <w:rPr>
                <w:rFonts w:ascii="Times New Roman" w:hAnsi="Times New Roman" w:cs="Times New Roman"/>
              </w:rPr>
              <w:t xml:space="preserve"> подростками и молодежью в Зеленчукском муниципальном районе 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lastRenderedPageBreak/>
              <w:t>Муниципальная программа «Обеспечение жильем молодых семей в Зеленчукском муниципальном районе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938,7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09543D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в Зеленчукском муниципальном районе на 2017-2019</w:t>
            </w:r>
            <w:r w:rsidR="0009543D">
              <w:rPr>
                <w:rFonts w:ascii="Times New Roman" w:hAnsi="Times New Roman" w:cs="Times New Roman"/>
              </w:rPr>
              <w:t xml:space="preserve"> </w:t>
            </w:r>
            <w:r w:rsidRPr="007F1539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09543D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«Противодействие коррупции в  Зеленчукском муниципальном районе 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09543D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«Профилактика преступлений и иных правонарушений на территории Зеленчукского муниципального района  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«Содействие занятости несовершеннолетних граждан Зеленчукского муниципального района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Зеленчукском </w:t>
            </w:r>
            <w:r w:rsidRPr="007F1539">
              <w:rPr>
                <w:rFonts w:ascii="Times New Roman" w:hAnsi="Times New Roman" w:cs="Times New Roman"/>
              </w:rPr>
              <w:lastRenderedPageBreak/>
              <w:t>муниципальном районе на 2017-2019 годы</w:t>
            </w:r>
            <w:r w:rsidR="009973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366,5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«Доступная среда Зеленчукского муниципального района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200,7</w:t>
            </w: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и становление Зеленчукского  районного общества Баталпашинского казачьего отдела Кубанского казачьего войска на 2017 год»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52186,8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>здравоохранения</w:t>
            </w:r>
            <w:r w:rsidRPr="007F1539">
              <w:rPr>
                <w:rFonts w:ascii="Times New Roman" w:hAnsi="Times New Roman" w:cs="Times New Roman"/>
              </w:rPr>
              <w:t xml:space="preserve"> Зеленчукского муниципального района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пожилых граждан  на 2016-2018 годы  в  Зеленчукском </w:t>
            </w:r>
            <w:r w:rsidRPr="007F1539">
              <w:rPr>
                <w:rFonts w:ascii="Times New Roman" w:hAnsi="Times New Roman" w:cs="Times New Roman"/>
              </w:rPr>
              <w:lastRenderedPageBreak/>
              <w:t>муниципальном  районе»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 Зеленчукском муниципальном районе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«Социальная поддержка населения в  Зеленчукском муниципальном  районе  на 2017-2019 годы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13809,2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14721,7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lastRenderedPageBreak/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10881,3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11161,7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22980,3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23031,8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многофункционального центра предоставления государственных и муниципальных услуг в Зеленчукском муниципальном районе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6445,4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«Повышение безопасности дорожного движения в </w:t>
            </w:r>
            <w:r w:rsidRPr="007F1539">
              <w:rPr>
                <w:rFonts w:ascii="Times New Roman" w:hAnsi="Times New Roman" w:cs="Times New Roman"/>
              </w:rPr>
              <w:t>Зеленчукском муниципальном районе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</w:tr>
    </w:tbl>
    <w:p w:rsidR="009B1217" w:rsidRDefault="009B1217" w:rsidP="009B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217" w:rsidRDefault="009B1217" w:rsidP="009B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5C" w:rsidRPr="00603601" w:rsidRDefault="00C9545C" w:rsidP="00906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545C" w:rsidRPr="0060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7946"/>
    <w:multiLevelType w:val="hybridMultilevel"/>
    <w:tmpl w:val="4218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0ADE"/>
    <w:multiLevelType w:val="hybridMultilevel"/>
    <w:tmpl w:val="648CC478"/>
    <w:lvl w:ilvl="0" w:tplc="8D36E63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6"/>
    <w:rsid w:val="00002377"/>
    <w:rsid w:val="00006A37"/>
    <w:rsid w:val="00007D46"/>
    <w:rsid w:val="000206FD"/>
    <w:rsid w:val="00025B3D"/>
    <w:rsid w:val="00030BD5"/>
    <w:rsid w:val="00043B23"/>
    <w:rsid w:val="000545CB"/>
    <w:rsid w:val="0009543D"/>
    <w:rsid w:val="000D7BCE"/>
    <w:rsid w:val="000E238B"/>
    <w:rsid w:val="000E3FB7"/>
    <w:rsid w:val="001050C9"/>
    <w:rsid w:val="001A5D39"/>
    <w:rsid w:val="001C1D35"/>
    <w:rsid w:val="001D4064"/>
    <w:rsid w:val="001D6036"/>
    <w:rsid w:val="001F358B"/>
    <w:rsid w:val="0024071B"/>
    <w:rsid w:val="002542D3"/>
    <w:rsid w:val="002666C9"/>
    <w:rsid w:val="002849CE"/>
    <w:rsid w:val="002E4442"/>
    <w:rsid w:val="0031482A"/>
    <w:rsid w:val="00323FC2"/>
    <w:rsid w:val="0032783C"/>
    <w:rsid w:val="0033421C"/>
    <w:rsid w:val="00357F28"/>
    <w:rsid w:val="003664B8"/>
    <w:rsid w:val="00367D4E"/>
    <w:rsid w:val="00367E0C"/>
    <w:rsid w:val="00371FD0"/>
    <w:rsid w:val="00390711"/>
    <w:rsid w:val="003940B0"/>
    <w:rsid w:val="003B419C"/>
    <w:rsid w:val="00405A6C"/>
    <w:rsid w:val="00414EE1"/>
    <w:rsid w:val="004325F0"/>
    <w:rsid w:val="00434656"/>
    <w:rsid w:val="00453A06"/>
    <w:rsid w:val="00455246"/>
    <w:rsid w:val="0046794D"/>
    <w:rsid w:val="00483915"/>
    <w:rsid w:val="004E1573"/>
    <w:rsid w:val="004E33BA"/>
    <w:rsid w:val="005071DD"/>
    <w:rsid w:val="00595CA2"/>
    <w:rsid w:val="005A58E7"/>
    <w:rsid w:val="005A5946"/>
    <w:rsid w:val="00601EDC"/>
    <w:rsid w:val="00603601"/>
    <w:rsid w:val="006116A0"/>
    <w:rsid w:val="006366F8"/>
    <w:rsid w:val="006934BF"/>
    <w:rsid w:val="0069486F"/>
    <w:rsid w:val="006A77B8"/>
    <w:rsid w:val="006C35D6"/>
    <w:rsid w:val="006F1333"/>
    <w:rsid w:val="00724B29"/>
    <w:rsid w:val="007353E4"/>
    <w:rsid w:val="007466B9"/>
    <w:rsid w:val="00747B2E"/>
    <w:rsid w:val="007533CB"/>
    <w:rsid w:val="00761297"/>
    <w:rsid w:val="007657E7"/>
    <w:rsid w:val="00772718"/>
    <w:rsid w:val="0078282D"/>
    <w:rsid w:val="007D564C"/>
    <w:rsid w:val="007E42F4"/>
    <w:rsid w:val="007F1539"/>
    <w:rsid w:val="00812714"/>
    <w:rsid w:val="00827D91"/>
    <w:rsid w:val="00864946"/>
    <w:rsid w:val="0087522D"/>
    <w:rsid w:val="00876542"/>
    <w:rsid w:val="008A4570"/>
    <w:rsid w:val="008C2778"/>
    <w:rsid w:val="008C7AEB"/>
    <w:rsid w:val="00906D26"/>
    <w:rsid w:val="0091190E"/>
    <w:rsid w:val="0093026A"/>
    <w:rsid w:val="0093486D"/>
    <w:rsid w:val="00934E78"/>
    <w:rsid w:val="009369AA"/>
    <w:rsid w:val="00955BA9"/>
    <w:rsid w:val="00972642"/>
    <w:rsid w:val="009973C3"/>
    <w:rsid w:val="009B0495"/>
    <w:rsid w:val="009B1217"/>
    <w:rsid w:val="009D7EBD"/>
    <w:rsid w:val="00A00FD8"/>
    <w:rsid w:val="00A35293"/>
    <w:rsid w:val="00A43E11"/>
    <w:rsid w:val="00A45421"/>
    <w:rsid w:val="00A51C46"/>
    <w:rsid w:val="00A675C9"/>
    <w:rsid w:val="00A837D9"/>
    <w:rsid w:val="00A90685"/>
    <w:rsid w:val="00A908E8"/>
    <w:rsid w:val="00AB5197"/>
    <w:rsid w:val="00B00801"/>
    <w:rsid w:val="00B057B4"/>
    <w:rsid w:val="00B51609"/>
    <w:rsid w:val="00B87740"/>
    <w:rsid w:val="00BA1C0C"/>
    <w:rsid w:val="00BA464A"/>
    <w:rsid w:val="00BB272F"/>
    <w:rsid w:val="00C00C7E"/>
    <w:rsid w:val="00C16927"/>
    <w:rsid w:val="00C229E1"/>
    <w:rsid w:val="00C24943"/>
    <w:rsid w:val="00C71F78"/>
    <w:rsid w:val="00C80B2F"/>
    <w:rsid w:val="00C830AB"/>
    <w:rsid w:val="00C950AE"/>
    <w:rsid w:val="00C9545C"/>
    <w:rsid w:val="00CB6B39"/>
    <w:rsid w:val="00CB7B27"/>
    <w:rsid w:val="00D17423"/>
    <w:rsid w:val="00D77A72"/>
    <w:rsid w:val="00DC3AE5"/>
    <w:rsid w:val="00E14F16"/>
    <w:rsid w:val="00E26C9F"/>
    <w:rsid w:val="00E92819"/>
    <w:rsid w:val="00E95E86"/>
    <w:rsid w:val="00EC2638"/>
    <w:rsid w:val="00EC72F8"/>
    <w:rsid w:val="00ED5869"/>
    <w:rsid w:val="00F318A3"/>
    <w:rsid w:val="00F47731"/>
    <w:rsid w:val="00F95711"/>
    <w:rsid w:val="00FC0B20"/>
    <w:rsid w:val="00FC1C83"/>
    <w:rsid w:val="00FE2523"/>
    <w:rsid w:val="00FE27F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F7F0F-B072-4BE0-BFE7-90367F8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6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66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66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466B9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6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Efimenko\LOCALS~1\Temp\&#1041;&#1102;&#1076;&#1078;&#1077;&#1090;&#1085;&#1099;&#1081;%20&#1087;&#1088;&#1086;&#1075;&#1085;&#1086;&#1079;%20&#1057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Savchenko-O.I.</dc:creator>
  <cp:keywords/>
  <dc:description/>
  <cp:lastModifiedBy>ОтделИ</cp:lastModifiedBy>
  <cp:revision>2</cp:revision>
  <cp:lastPrinted>2017-11-29T11:32:00Z</cp:lastPrinted>
  <dcterms:created xsi:type="dcterms:W3CDTF">2017-12-01T06:02:00Z</dcterms:created>
  <dcterms:modified xsi:type="dcterms:W3CDTF">2017-12-01T06:02:00Z</dcterms:modified>
</cp:coreProperties>
</file>