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61" w:rsidRPr="002F5E0F" w:rsidRDefault="004C0961" w:rsidP="002F5E0F">
      <w:pPr>
        <w:spacing w:after="0" w:line="240" w:lineRule="auto"/>
        <w:jc w:val="center"/>
        <w:rPr>
          <w:rStyle w:val="2"/>
          <w:rFonts w:eastAsia="Arial Unicode MS"/>
          <w:sz w:val="28"/>
          <w:szCs w:val="28"/>
        </w:rPr>
      </w:pPr>
      <w:bookmarkStart w:id="0" w:name="bookmark0"/>
      <w:r w:rsidRPr="002F5E0F">
        <w:rPr>
          <w:rFonts w:ascii="Times New Roman" w:hAnsi="Times New Roman" w:cs="Times New Roman"/>
          <w:sz w:val="28"/>
          <w:szCs w:val="28"/>
        </w:rPr>
        <w:t>РОССИЙСКАЯ</w:t>
      </w:r>
      <w:r w:rsidRPr="002F5E0F">
        <w:rPr>
          <w:rStyle w:val="2"/>
          <w:rFonts w:eastAsia="Arial Unicode MS"/>
          <w:sz w:val="28"/>
          <w:szCs w:val="28"/>
        </w:rPr>
        <w:t xml:space="preserve"> ФЕДЕРАЦИЯ</w:t>
      </w:r>
    </w:p>
    <w:p w:rsidR="004C0961" w:rsidRPr="002F5E0F" w:rsidRDefault="004C0961" w:rsidP="002F5E0F">
      <w:pPr>
        <w:spacing w:after="0" w:line="240" w:lineRule="auto"/>
        <w:jc w:val="center"/>
        <w:rPr>
          <w:rStyle w:val="2"/>
          <w:rFonts w:eastAsia="Arial Unicode MS"/>
          <w:sz w:val="28"/>
          <w:szCs w:val="28"/>
        </w:rPr>
      </w:pPr>
      <w:r w:rsidRPr="002F5E0F">
        <w:rPr>
          <w:rStyle w:val="2"/>
          <w:rFonts w:eastAsia="Arial Unicode MS"/>
          <w:sz w:val="28"/>
          <w:szCs w:val="28"/>
        </w:rPr>
        <w:t xml:space="preserve"> КАРАЧАЕВО-ЧЕРКЕССКАЯ РЕСПУБЛИКА</w:t>
      </w:r>
    </w:p>
    <w:p w:rsidR="00674F2A" w:rsidRPr="002F5E0F" w:rsidRDefault="004C0961" w:rsidP="002F5E0F">
      <w:pPr>
        <w:spacing w:after="0" w:line="240" w:lineRule="auto"/>
        <w:jc w:val="center"/>
        <w:rPr>
          <w:rStyle w:val="2"/>
          <w:rFonts w:eastAsia="Arial Unicode MS"/>
          <w:sz w:val="28"/>
          <w:szCs w:val="28"/>
        </w:rPr>
      </w:pPr>
      <w:r w:rsidRPr="002F5E0F">
        <w:rPr>
          <w:rFonts w:ascii="Times New Roman" w:hAnsi="Times New Roman" w:cs="Times New Roman"/>
          <w:sz w:val="28"/>
          <w:szCs w:val="28"/>
        </w:rPr>
        <w:t>АДМИНИСТРАЦИЯ</w:t>
      </w:r>
      <w:r w:rsidRPr="002F5E0F">
        <w:rPr>
          <w:rStyle w:val="2"/>
          <w:rFonts w:eastAsia="Arial Unicode MS"/>
          <w:sz w:val="28"/>
          <w:szCs w:val="28"/>
        </w:rPr>
        <w:t xml:space="preserve"> ЗЕЛЕНЧУКСКОГО</w:t>
      </w:r>
      <w:r w:rsidRPr="002F5E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F5E0F">
        <w:rPr>
          <w:rStyle w:val="2"/>
          <w:rFonts w:eastAsia="Arial Unicode MS"/>
          <w:sz w:val="28"/>
          <w:szCs w:val="28"/>
        </w:rPr>
        <w:t xml:space="preserve"> РАЙОНА</w:t>
      </w:r>
      <w:bookmarkEnd w:id="0"/>
    </w:p>
    <w:p w:rsidR="00113051" w:rsidRPr="002F5E0F" w:rsidRDefault="00113051" w:rsidP="002F5E0F">
      <w:pPr>
        <w:spacing w:after="0" w:line="240" w:lineRule="auto"/>
        <w:rPr>
          <w:rStyle w:val="2"/>
          <w:rFonts w:eastAsia="Arial Unicode MS"/>
          <w:sz w:val="28"/>
          <w:szCs w:val="28"/>
        </w:rPr>
      </w:pPr>
    </w:p>
    <w:p w:rsidR="004C0961" w:rsidRPr="002F5E0F" w:rsidRDefault="004C0961" w:rsidP="002F5E0F">
      <w:pPr>
        <w:spacing w:after="0" w:line="240" w:lineRule="auto"/>
        <w:jc w:val="center"/>
        <w:rPr>
          <w:rStyle w:val="2"/>
          <w:rFonts w:eastAsia="Arial Unicode MS"/>
          <w:b/>
          <w:sz w:val="28"/>
          <w:szCs w:val="28"/>
        </w:rPr>
      </w:pPr>
      <w:r w:rsidRPr="002F5E0F">
        <w:rPr>
          <w:rStyle w:val="2"/>
          <w:rFonts w:eastAsia="Arial Unicode MS"/>
          <w:b/>
          <w:sz w:val="28"/>
          <w:szCs w:val="28"/>
        </w:rPr>
        <w:t>ПОСТАНОВЛЕНИЕ</w:t>
      </w:r>
    </w:p>
    <w:p w:rsidR="00CA56A7" w:rsidRPr="002F5E0F" w:rsidRDefault="00CA56A7" w:rsidP="002F5E0F">
      <w:pPr>
        <w:spacing w:after="0" w:line="240" w:lineRule="auto"/>
        <w:jc w:val="center"/>
        <w:rPr>
          <w:rStyle w:val="2"/>
          <w:rFonts w:eastAsia="Arial Unicode MS"/>
          <w:b/>
          <w:sz w:val="28"/>
          <w:szCs w:val="28"/>
        </w:rPr>
      </w:pPr>
    </w:p>
    <w:p w:rsidR="004C0961" w:rsidRPr="002F5E0F" w:rsidRDefault="00B66510" w:rsidP="00B66510">
      <w:pPr>
        <w:spacing w:after="0" w:line="240" w:lineRule="auto"/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</w:rPr>
        <w:t xml:space="preserve">       18.12.2024                         </w:t>
      </w:r>
      <w:r w:rsidR="004C0961" w:rsidRPr="002F5E0F">
        <w:rPr>
          <w:rStyle w:val="2"/>
          <w:rFonts w:eastAsia="Arial Unicode MS"/>
          <w:sz w:val="28"/>
          <w:szCs w:val="28"/>
        </w:rPr>
        <w:t xml:space="preserve">ст. Зеленчукская                         </w:t>
      </w:r>
      <w:r w:rsidR="00CA56A7" w:rsidRPr="002F5E0F">
        <w:rPr>
          <w:rStyle w:val="2"/>
          <w:rFonts w:eastAsia="Arial Unicode MS"/>
          <w:sz w:val="28"/>
          <w:szCs w:val="28"/>
        </w:rPr>
        <w:t>№</w:t>
      </w:r>
      <w:r>
        <w:rPr>
          <w:rStyle w:val="2"/>
          <w:rFonts w:eastAsia="Arial Unicode MS"/>
          <w:sz w:val="28"/>
          <w:szCs w:val="28"/>
        </w:rPr>
        <w:t xml:space="preserve"> 912</w:t>
      </w:r>
    </w:p>
    <w:p w:rsidR="00CA56A7" w:rsidRPr="002F5E0F" w:rsidRDefault="00CA56A7" w:rsidP="002F5E0F">
      <w:pPr>
        <w:spacing w:after="0" w:line="240" w:lineRule="auto"/>
        <w:jc w:val="center"/>
        <w:rPr>
          <w:rStyle w:val="2"/>
          <w:rFonts w:eastAsia="Arial Unicode MS"/>
          <w:sz w:val="28"/>
          <w:szCs w:val="28"/>
        </w:rPr>
      </w:pPr>
    </w:p>
    <w:p w:rsidR="004C0961" w:rsidRPr="002F5E0F" w:rsidRDefault="004C0961" w:rsidP="002F5E0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«Социальная поддержка пожилых граждан на 2025-2027 годы в Зеленчукском муниципальном районе</w:t>
      </w:r>
      <w:r w:rsid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A56A7" w:rsidRPr="002F5E0F" w:rsidRDefault="00CA56A7" w:rsidP="002F5E0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Default="009B6ECB" w:rsidP="009B6ECB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C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9B6EC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B6EC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11673" w:rsidRPr="009B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28.12.2013 №442-ФЗ «Об основах социального обслуживания граждан в Российской Федерации»,</w:t>
      </w:r>
      <w:hyperlink r:id="rId6" w:history="1">
        <w:r w:rsidRPr="009B6E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6ECB">
        <w:rPr>
          <w:rFonts w:ascii="Times New Roman" w:hAnsi="Times New Roman" w:cs="Times New Roman"/>
          <w:sz w:val="28"/>
          <w:szCs w:val="28"/>
        </w:rPr>
        <w:t xml:space="preserve"> администрации Зеленчукского муниципального района от 19.11.2013 № 1091 «Об утверждении Порядка принятия и реализации муниципальных программ Зеленчукского муниципального района и Порядка проведения и критериев оценки эффективности реализации муниципальных программ Зеленчукского муниципального района»,</w:t>
      </w:r>
    </w:p>
    <w:p w:rsidR="00B11673" w:rsidRPr="009B6ECB" w:rsidRDefault="00B11673" w:rsidP="009B6ECB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961" w:rsidRPr="002F5E0F" w:rsidRDefault="004C0961" w:rsidP="002F5E0F">
      <w:pPr>
        <w:spacing w:after="0" w:line="240" w:lineRule="auto"/>
        <w:ind w:left="20" w:right="4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A56A7" w:rsidRPr="002F5E0F" w:rsidRDefault="00CA56A7" w:rsidP="002F5E0F">
      <w:pPr>
        <w:spacing w:after="0" w:line="240" w:lineRule="auto"/>
        <w:ind w:left="20" w:right="4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961" w:rsidRPr="002F5E0F" w:rsidRDefault="004C0961" w:rsidP="002F5E0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20" w:right="4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«Социальная поддержка пожилых граждан на 2025-2027 годы в Зеленчукском муниципаль</w:t>
      </w:r>
      <w:r w:rsidR="00F85A09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районе</w:t>
      </w:r>
      <w:r w:rsid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</w:t>
      </w:r>
      <w:r w:rsidR="00F85A09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4C0961" w:rsidRPr="00D42087" w:rsidRDefault="00F85A09" w:rsidP="00AD2AE8">
      <w:pPr>
        <w:numPr>
          <w:ilvl w:val="0"/>
          <w:numId w:val="1"/>
        </w:numPr>
        <w:tabs>
          <w:tab w:val="left" w:pos="1431"/>
        </w:tabs>
        <w:spacing w:after="0" w:line="240" w:lineRule="auto"/>
        <w:ind w:left="20" w:right="4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Зеленчукского муниципального района от 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20.12.2021</w:t>
      </w:r>
      <w:r w:rsidR="004C0961" w:rsidRPr="00D42087">
        <w:rPr>
          <w:rFonts w:ascii="Times New Roman" w:eastAsia="Trebuchet MS" w:hAnsi="Times New Roman" w:cs="Times New Roman"/>
          <w:iCs/>
          <w:color w:val="000000"/>
          <w:spacing w:val="20"/>
          <w:sz w:val="28"/>
          <w:szCs w:val="28"/>
          <w:lang w:eastAsia="ru-RU"/>
        </w:rPr>
        <w:t xml:space="preserve"> №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1408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муниципальной</w:t>
      </w:r>
      <w:r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«Социальная поддержка пожилых граждан на 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Зеленчукском муниципально</w:t>
      </w:r>
      <w:r w:rsidR="00D238E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районе»;от 20</w:t>
      </w:r>
      <w:r w:rsidR="00D238E1" w:rsidRPr="00D4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.02.2023 № 98 </w:t>
      </w:r>
      <w:r w:rsidR="00D238E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Зеленчукского муниципального района от 20.12.2021 № 1408 «Об утверждении муниципальной программы «Социальная поддержка пожилых граждан на 2022-2024 годы в Зеленчукском муниципальном районе»;</w:t>
      </w:r>
      <w:r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C6F8F" w:rsidRPr="00D4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05.02.2024</w:t>
      </w:r>
      <w:r w:rsidRPr="00D4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C6F8F" w:rsidRPr="00D420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внесенииизменений в постановление администрации Зеленчукского муниципального района от 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20.12.2021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F5E0F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1408 «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программы«Социальная поддержка пожилых граждан на 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2022-2024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 Зеленчукском муниципальном районе», признать утратившими силу с 01.01.</w:t>
      </w:r>
      <w:r w:rsidR="005948FC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4C0961" w:rsidRP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ода.</w:t>
      </w:r>
    </w:p>
    <w:p w:rsidR="00866442" w:rsidRPr="002F5E0F" w:rsidRDefault="00866442" w:rsidP="002F5E0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2F5E0F" w:rsidRPr="002F5E0F" w:rsidRDefault="002F5E0F" w:rsidP="002F5E0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Зеленчукского муниципального района, курирующего социальные вопросы.</w:t>
      </w:r>
    </w:p>
    <w:p w:rsidR="00866442" w:rsidRPr="002F5E0F" w:rsidRDefault="00866442" w:rsidP="00DE41B6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Зеленчукского муниципального района                </w:t>
      </w:r>
      <w:r w:rsidR="005948FC"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А.А. Шайдаров</w:t>
      </w: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D42087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866442" w:rsidRPr="002F5E0F" w:rsidRDefault="00F85A09" w:rsidP="00D42087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6442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Зеленчукского</w:t>
      </w:r>
    </w:p>
    <w:p w:rsidR="00866442" w:rsidRDefault="00F85A09" w:rsidP="00D42087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66442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</w:t>
      </w:r>
    </w:p>
    <w:p w:rsidR="00D42087" w:rsidRPr="002F5E0F" w:rsidRDefault="00D42087" w:rsidP="00D42087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</w:p>
    <w:p w:rsidR="00866442" w:rsidRPr="002F5E0F" w:rsidRDefault="00866442" w:rsidP="00D42087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bookmarkStart w:id="1" w:name="_GoBack"/>
      <w:bookmarkEnd w:id="1"/>
      <w:r w:rsidR="00B6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18.12.2024 № 912 </w:t>
      </w: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Pr="002F5E0F" w:rsidRDefault="00CA56A7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Pr="002F5E0F" w:rsidRDefault="00CA56A7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Pr="002F5E0F" w:rsidRDefault="00CA56A7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Pr="00D42087" w:rsidRDefault="00CA56A7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66442" w:rsidRPr="00D42087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20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МУНИЦИПАЛЬНАЯ ПРОГРАММА</w:t>
      </w:r>
    </w:p>
    <w:p w:rsidR="00866442" w:rsidRPr="00D42087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66442" w:rsidRPr="00D42087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20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«Социальная поддержка пожилых граждан на 2025-2027 </w:t>
      </w:r>
    </w:p>
    <w:p w:rsidR="00866442" w:rsidRPr="00D42087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20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годы в Зеленчукском муниципальном районе</w:t>
      </w:r>
      <w:r w:rsidR="00D420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Карачаево-Черкесской Республики</w:t>
      </w:r>
      <w:r w:rsidRPr="00D420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866442" w:rsidRPr="00D42087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Default="00CA56A7" w:rsidP="002F5E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CC" w:rsidRPr="002F5E0F" w:rsidRDefault="00B37ECC" w:rsidP="002F5E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6A7" w:rsidRPr="002F5E0F" w:rsidRDefault="00CA56A7" w:rsidP="002F5E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ст.Зеленчукская</w:t>
      </w:r>
    </w:p>
    <w:p w:rsidR="00866442" w:rsidRPr="002F5E0F" w:rsidRDefault="00CA56A7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r w:rsidR="00866442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866442" w:rsidRPr="00D42087" w:rsidRDefault="00A455E9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</w:t>
      </w:r>
    </w:p>
    <w:p w:rsidR="00A455E9" w:rsidRPr="002F5E0F" w:rsidRDefault="00A455E9" w:rsidP="002F5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«Социальная поддержка пожилых граждан на    2025-2027 годы в Зеленчукском муниципальном районе</w:t>
      </w:r>
      <w:r w:rsidR="00D4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421"/>
        <w:gridCol w:w="6149"/>
      </w:tblGrid>
      <w:tr w:rsidR="00A455E9" w:rsidRPr="002F5E0F" w:rsidTr="002C4857">
        <w:tc>
          <w:tcPr>
            <w:tcW w:w="3510" w:type="dxa"/>
          </w:tcPr>
          <w:p w:rsidR="00A455E9" w:rsidRPr="002F5E0F" w:rsidRDefault="00A455E9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CA56A7" w:rsidRPr="002F5E0F" w:rsidRDefault="00A455E9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пожилых граждан на </w:t>
            </w:r>
          </w:p>
          <w:p w:rsidR="00CA56A7" w:rsidRPr="002F5E0F" w:rsidRDefault="00A455E9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2025-2027 годы в Зеленчукском </w:t>
            </w:r>
          </w:p>
          <w:p w:rsidR="00A455E9" w:rsidRPr="002F5E0F" w:rsidRDefault="00A455E9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 районе</w:t>
            </w:r>
            <w:r w:rsidR="00D42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Карачаево-Черкесской Республики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A455E9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Основание для </w:t>
            </w:r>
            <w:r w:rsidR="00D42087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6379" w:type="dxa"/>
          </w:tcPr>
          <w:p w:rsidR="00A455E9" w:rsidRPr="002F5E0F" w:rsidRDefault="00A455E9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28.12.2013№442-ФЗ «Об основах социального обслуживания граждан в Российской Федерации»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A455E9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Заказчик и </w:t>
            </w:r>
            <w:r w:rsidR="00274471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379" w:type="dxa"/>
          </w:tcPr>
          <w:p w:rsidR="00A455E9" w:rsidRPr="002F5E0F" w:rsidRDefault="00274471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труда и социального развития администрации Зеле</w:t>
            </w:r>
            <w:r w:rsidR="00D42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нчукского муниципального района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Программы </w:t>
            </w:r>
          </w:p>
        </w:tc>
        <w:tc>
          <w:tcPr>
            <w:tcW w:w="6379" w:type="dxa"/>
          </w:tcPr>
          <w:p w:rsidR="00A455E9" w:rsidRPr="002F5E0F" w:rsidRDefault="00274471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труда и социального развития администрации Зеленчукского муниципального района, главы сельских поселений (по согласованию), отдел культуры администрации Зеленчукского муниципального района,дом детского творчества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="00D42087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  <w:p w:rsidR="00274471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A455E9" w:rsidRPr="002F5E0F" w:rsidRDefault="00274471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</w:t>
            </w:r>
            <w:r w:rsidR="00F85A09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качества жизни пожилых </w:t>
            </w:r>
            <w:r w:rsidR="00D42087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 повышение</w:t>
            </w: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их социальной защищенности, активизация участия пожилых граждан в общественной жизни района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79" w:type="dxa"/>
          </w:tcPr>
          <w:p w:rsidR="00A455E9" w:rsidRPr="002F5E0F" w:rsidRDefault="00274471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2025-2027 годы,без деления на этапы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мероприятия Программы </w:t>
            </w:r>
          </w:p>
        </w:tc>
        <w:tc>
          <w:tcPr>
            <w:tcW w:w="6379" w:type="dxa"/>
          </w:tcPr>
          <w:p w:rsidR="00A455E9" w:rsidRPr="002F5E0F" w:rsidRDefault="00D42087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</w:t>
            </w:r>
            <w:r w:rsidR="00274471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 всех пожилых</w:t>
            </w:r>
            <w:r w:rsidR="00A1203F"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людей, нуждающихся в социальных услугах</w:t>
            </w:r>
          </w:p>
        </w:tc>
      </w:tr>
      <w:tr w:rsidR="00A455E9" w:rsidRPr="002F5E0F" w:rsidTr="002C4857">
        <w:tc>
          <w:tcPr>
            <w:tcW w:w="3510" w:type="dxa"/>
          </w:tcPr>
          <w:p w:rsidR="00A455E9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Программы </w:t>
            </w:r>
          </w:p>
        </w:tc>
        <w:tc>
          <w:tcPr>
            <w:tcW w:w="6379" w:type="dxa"/>
          </w:tcPr>
          <w:p w:rsidR="00A455E9" w:rsidRPr="002F5E0F" w:rsidRDefault="00A1203F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 – средства бюджета </w:t>
            </w:r>
          </w:p>
          <w:p w:rsidR="00CA56A7" w:rsidRPr="002F5E0F" w:rsidRDefault="00A1203F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Зеленчукского муниципального района        </w:t>
            </w:r>
          </w:p>
          <w:p w:rsidR="00A1203F" w:rsidRPr="002F5E0F" w:rsidRDefault="00A1203F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Программы - 450 тыс. руб.: 2025 год-150 тыс. руб., 2026 год -150 тыс. руб., 2027 год -150 тыс. руб.</w:t>
            </w:r>
          </w:p>
        </w:tc>
      </w:tr>
      <w:tr w:rsidR="00274471" w:rsidRPr="002F5E0F" w:rsidTr="002C4857">
        <w:tc>
          <w:tcPr>
            <w:tcW w:w="3510" w:type="dxa"/>
          </w:tcPr>
          <w:p w:rsidR="00274471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ожидаемые конечные результаты Программы </w:t>
            </w:r>
          </w:p>
        </w:tc>
        <w:tc>
          <w:tcPr>
            <w:tcW w:w="6379" w:type="dxa"/>
          </w:tcPr>
          <w:p w:rsidR="00274471" w:rsidRPr="002F5E0F" w:rsidRDefault="00A1203F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и учет пожилых граждан и инвалидов, нуждающихся в оказании социальных услуг </w:t>
            </w:r>
          </w:p>
        </w:tc>
      </w:tr>
      <w:tr w:rsidR="00274471" w:rsidRPr="002F5E0F" w:rsidTr="002C4857">
        <w:tc>
          <w:tcPr>
            <w:tcW w:w="3510" w:type="dxa"/>
          </w:tcPr>
          <w:p w:rsidR="00274471" w:rsidRPr="002F5E0F" w:rsidRDefault="00274471" w:rsidP="002F5E0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379" w:type="dxa"/>
          </w:tcPr>
          <w:p w:rsidR="00274471" w:rsidRPr="002F5E0F" w:rsidRDefault="00A1203F" w:rsidP="002F5E0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мероприятий Программы осуществляется администрацией Зеленчукского муниципального района</w:t>
            </w:r>
          </w:p>
        </w:tc>
      </w:tr>
    </w:tbl>
    <w:p w:rsidR="00C02BCE" w:rsidRDefault="00C02BCE" w:rsidP="00C02BCE">
      <w:pPr>
        <w:pStyle w:val="a4"/>
        <w:spacing w:after="0" w:line="240" w:lineRule="auto"/>
        <w:ind w:left="1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CC" w:rsidRDefault="00B37ECC" w:rsidP="00C02BCE">
      <w:pPr>
        <w:pStyle w:val="a4"/>
        <w:spacing w:after="0" w:line="240" w:lineRule="auto"/>
        <w:ind w:left="1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CC" w:rsidRDefault="00B37ECC" w:rsidP="00C02BCE">
      <w:pPr>
        <w:pStyle w:val="a4"/>
        <w:spacing w:after="0" w:line="240" w:lineRule="auto"/>
        <w:ind w:left="1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03F" w:rsidRPr="00C02BCE" w:rsidRDefault="00A1203F" w:rsidP="002F5E0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проблемы и обоснование необходимости ее решения программными методами</w:t>
      </w:r>
    </w:p>
    <w:p w:rsidR="00A1203F" w:rsidRPr="002F5E0F" w:rsidRDefault="00A1203F" w:rsidP="00C02BCE">
      <w:pPr>
        <w:tabs>
          <w:tab w:val="left" w:pos="5667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ременном этапе развития общества р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комплекса мер по 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социальной поддержкиветеранов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всехкатегорийпожилых</w:t>
      </w:r>
    </w:p>
    <w:p w:rsidR="002F54AA" w:rsidRPr="002F5E0F" w:rsidRDefault="00A1203F" w:rsidP="00C02BCE">
      <w:pPr>
        <w:tabs>
          <w:tab w:val="left" w:pos="5394"/>
        </w:tabs>
        <w:spacing w:after="0" w:line="240" w:lineRule="auto"/>
        <w:ind w:right="2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приоритетных н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социальной политики района. Одной из особенностей современной де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мографической ситуации в Зеленчукском муниципальном районе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по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Карачаево-Черкесской Республи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является относительно высока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пожилых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ко</w:t>
      </w:r>
      <w:r w:rsidR="00F85A09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личество которых превышает 12000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перспективе прогнози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динамичное увеличение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ближайшие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доли</w:t>
      </w:r>
      <w:r w:rsidR="005637F1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граждан в составе населения до 22 процентов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проблема более низкой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 жизни мужчин по сравнению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женщинами. В настоя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разница составляет 12 лет. Диспропорция мужс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и 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женского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тем больше, чем старше возрастная гру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ппа. Масштабный характ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приобретают негативные изменения, касающиеся физического, 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духов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зд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оровья людей старшего возраста.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годы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ухудшение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здоровья пожилых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проявляющееся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увеличении количества уровня заболеваемости и 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смертности.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Старение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как и наступление старости у отдельного чел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овека, сопровождается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="0036664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зависимости пожилых граждан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экономически и социаль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активного населения. Неудовлетворительное сос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тояние здоровья, неустойчивое материальное положение, сн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ижение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конкурентоспособности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 труда в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предпенсионном и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пенсионном возр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 - характерные черты пол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 значительной части пожилых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Процесс старения населения и значительное увеличение численности инвалидов, в том числе в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трудоспособном возрасте,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обуславливают необходимость принятия мер, направленных как на усиление их социальной защищенности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на создание условий для их акт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 участия в жизни общества. В силу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возрастных особенностей пожилым 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гражданам трудно адаптироваться к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изменяющимся со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 экономическим условиям.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Пожилые граждане и инвалиды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них самих, но и для людей, их окружающих. В сфере охраны здоровья, социального,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культурно-досугового,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торгово-бытового обслуживания, физк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ультурно-оздоровительной работы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внимания к нуждам пожилых людей и инвалидов приводит к ограничению их доступа к общественным благам и услугам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Важным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шагом, в этом направлении стали активно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осуществляющиеся в районе в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годы мероприятия по 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усилению социальной защиты ветеранов, пожилых граждани инвалидов, в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по формированию 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организа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ционных, правовых, 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социально-экономических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деятельности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систем и служб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ответственных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социальное благополучие пожилых граждан и инвалидов</w:t>
      </w:r>
      <w:r w:rsidR="0086679D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.Ветеранам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инвалидам в соответствии с действующим федеральным законодательством выплачиваются пенсии и предоставляются</w:t>
      </w:r>
      <w:r w:rsidR="002F54AA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социальной поддержки (льготы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оплате жилищно-коммунальных</w:t>
      </w: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услуг, лекарственное </w:t>
      </w: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обеспечение, санаторное лечение, обеспечение техническими средствами реабилитации, протезирование, льготный проезд в транспорте общего пользования, проезд к</w:t>
      </w:r>
      <w:r w:rsidR="002F54AA"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месту лечения и обратно).</w:t>
      </w:r>
    </w:p>
    <w:p w:rsidR="00BB579C" w:rsidRDefault="00A1203F" w:rsidP="00C02BCE">
      <w:pPr>
        <w:pStyle w:val="21"/>
        <w:shd w:val="clear" w:color="auto" w:fill="auto"/>
        <w:tabs>
          <w:tab w:val="left" w:pos="9639"/>
        </w:tabs>
        <w:spacing w:after="0" w:line="240" w:lineRule="auto"/>
        <w:ind w:right="-35" w:firstLine="851"/>
        <w:jc w:val="both"/>
        <w:rPr>
          <w:color w:val="000000"/>
          <w:sz w:val="28"/>
          <w:szCs w:val="28"/>
          <w:lang w:eastAsia="ru-RU"/>
        </w:rPr>
      </w:pPr>
      <w:r w:rsidRPr="002F5E0F">
        <w:rPr>
          <w:rFonts w:eastAsia="Arial Unicode MS"/>
          <w:color w:val="000000"/>
          <w:sz w:val="28"/>
          <w:szCs w:val="28"/>
          <w:lang w:eastAsia="ru-RU"/>
        </w:rPr>
        <w:t xml:space="preserve"> В</w:t>
      </w:r>
      <w:r w:rsidR="00BB579C" w:rsidRPr="002F5E0F">
        <w:rPr>
          <w:color w:val="000000"/>
          <w:sz w:val="28"/>
          <w:szCs w:val="28"/>
          <w:lang w:eastAsia="ru-RU"/>
        </w:rPr>
        <w:t xml:space="preserve"> результате проведенной работы удалось упорядочить систему предоставления льгот и социальных гарантий, повысить эффективность расходования бюджетных средств на эти цели. С 2005 года в ходе реализации мероприятий по реформированию социальной сферы для ветеранов и инвалидов введены дополнительные ежемесячные денежные выплаты за счет федерального и республиканского бюджетов. Однако установленные ежемесячные денежные выплаты не в полной мере компенсируют ранее представлявшиеся в натуральной форме льготы. Всестороннее повышение внимания к запросам и нуждам ветеранов войны, защищавших Отечество с оружием в руках и самоотверженно трудившихся в тылу в. годы войны, а также вдов погибших воинов является одной из приоритетных задач и с каждым годом приобретает особое значение. В последующие годы необходимо обеспечить дальнейшее усиление предоставления мер социальной поддержки всем категориям ветеранов Великой Отечественной войны и боевых действий. Ежегодно планируется проведение мониторинга социально-экономического положения граждан пожилого возраста, проживающих в районе. Наличие сведений о конкретных потребностях каждого пожилого человека позволит придать работе по предоставлению им социальных услуг более целенаправленный и системный характер. Дальнейшее повышениеуровня и качества жизни пожилых граждан и инвалидов на основе усиления их социальной защиты, широкого предоставления социальных услуг и адресной помощи, совершенствования форм и видов социального обслуживания, способствующих нормальной жизнедеятельности, остается одной из целей районной социальной политики. Эффективное решение проблем пожилых граждан, имеющих межведомственный характер, возможно только в рамках специальных целевых программ.</w:t>
      </w:r>
    </w:p>
    <w:p w:rsidR="00C02BCE" w:rsidRPr="002F5E0F" w:rsidRDefault="00C02BCE" w:rsidP="00C02BCE">
      <w:pPr>
        <w:pStyle w:val="21"/>
        <w:shd w:val="clear" w:color="auto" w:fill="auto"/>
        <w:tabs>
          <w:tab w:val="left" w:pos="9639"/>
        </w:tabs>
        <w:spacing w:after="0" w:line="240" w:lineRule="auto"/>
        <w:ind w:right="-35" w:firstLine="851"/>
        <w:jc w:val="both"/>
        <w:rPr>
          <w:color w:val="000000"/>
          <w:sz w:val="28"/>
          <w:szCs w:val="28"/>
          <w:lang w:eastAsia="ru-RU"/>
        </w:rPr>
      </w:pPr>
    </w:p>
    <w:p w:rsidR="00BB579C" w:rsidRPr="00C02BCE" w:rsidRDefault="00BB579C" w:rsidP="00C02BCE">
      <w:pPr>
        <w:pStyle w:val="a4"/>
        <w:numPr>
          <w:ilvl w:val="0"/>
          <w:numId w:val="2"/>
        </w:numPr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цели и задачи Программы</w:t>
      </w:r>
    </w:p>
    <w:p w:rsidR="00BB579C" w:rsidRPr="002F5E0F" w:rsidRDefault="00BB579C" w:rsidP="00C02BCE">
      <w:pPr>
        <w:tabs>
          <w:tab w:val="left" w:pos="9214"/>
          <w:tab w:val="left" w:pos="9355"/>
        </w:tabs>
        <w:spacing w:after="0" w:line="240" w:lineRule="auto"/>
        <w:ind w:left="20" w:right="-1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 создание условий для повышения качества жизни ветеранов Великой Отечественной войны, ветеранов труда, ветеранов боевых действий, пожилых граждан на основе развития адресности и нуждаемости и направление заинтересованных учреждений и организаций на обеспечение доступности социально- медицинской помощи, культурно-досуговых и иных услуг, внедрение новых форм социальной помощи, содействие активному участию ветеранов, пожилых граждан в жизни общества.</w:t>
      </w:r>
    </w:p>
    <w:p w:rsidR="00866442" w:rsidRDefault="00BB579C" w:rsidP="00C02BCE">
      <w:pPr>
        <w:tabs>
          <w:tab w:val="left" w:pos="1134"/>
        </w:tabs>
        <w:spacing w:after="0" w:line="240" w:lineRule="auto"/>
        <w:ind w:left="20" w:firstLine="831"/>
        <w:jc w:val="both"/>
        <w:rPr>
          <w:rStyle w:val="3"/>
          <w:rFonts w:eastAsiaTheme="minorHAnsi"/>
          <w:sz w:val="28"/>
          <w:szCs w:val="28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 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нуждаемости, обеспечение доступности культурно-досуговых услуг для граждан пожилого возраста, удовлетворение их культурных запросов,</w:t>
      </w:r>
      <w:r w:rsidRPr="002F5E0F">
        <w:rPr>
          <w:rStyle w:val="3"/>
          <w:rFonts w:eastAsiaTheme="minorHAnsi"/>
          <w:sz w:val="28"/>
          <w:szCs w:val="28"/>
        </w:rPr>
        <w:t>формирование активной жизненной позиции, привлечение к участию в культурной жизни района.</w:t>
      </w:r>
    </w:p>
    <w:p w:rsidR="00C02BCE" w:rsidRPr="002F5E0F" w:rsidRDefault="00C02BCE" w:rsidP="00C02BCE">
      <w:pPr>
        <w:tabs>
          <w:tab w:val="left" w:pos="1134"/>
        </w:tabs>
        <w:spacing w:after="0" w:line="240" w:lineRule="auto"/>
        <w:ind w:left="20" w:firstLine="831"/>
        <w:jc w:val="both"/>
        <w:rPr>
          <w:rStyle w:val="3"/>
          <w:rFonts w:eastAsiaTheme="minorHAnsi"/>
          <w:sz w:val="28"/>
          <w:szCs w:val="28"/>
        </w:rPr>
      </w:pPr>
    </w:p>
    <w:p w:rsidR="00BB579C" w:rsidRPr="00C02BCE" w:rsidRDefault="00BB579C" w:rsidP="002F5E0F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3. Сроки и этапы реализации Программы</w:t>
      </w:r>
    </w:p>
    <w:p w:rsidR="00BB579C" w:rsidRDefault="00BB579C" w:rsidP="00C02BC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Программы - 2025-2027 годы, без деления на этапы. В рамках реализации Программы предусмотрено установление долгосрочных отношений между координатором реализации Программы и основными исполнителями мероприятий Программы, проработка вопросов финансового обеспечения и реализация предусмотренных на этот период мероприятий Программы, проведение оценки хода выполнения мероприятий Программы и подготовка при необходимости п</w:t>
      </w:r>
      <w:r w:rsidR="005B3F2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по их корректировке, подготовка предложений и 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по совершенствованию деятельности, осуществляемой в интересах ветеранов, пожилых граждан на основе полученных в ходе реализации мероприятий Программы результатов.</w:t>
      </w:r>
    </w:p>
    <w:p w:rsidR="00C02BCE" w:rsidRPr="002F5E0F" w:rsidRDefault="00C02BCE" w:rsidP="00C02BC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79C" w:rsidRPr="00C02BCE" w:rsidRDefault="00C02BCE" w:rsidP="00C02BCE">
      <w:pPr>
        <w:tabs>
          <w:tab w:val="left" w:pos="37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B579C"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 Программы</w:t>
      </w:r>
    </w:p>
    <w:p w:rsidR="005B3F20" w:rsidRDefault="00BB579C" w:rsidP="00C02BCE">
      <w:pPr>
        <w:spacing w:after="0" w:line="240" w:lineRule="auto"/>
        <w:ind w:right="-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содержит комплекс мероприятий, предусматривающих решение конкретных задач, взаимосвязанных и скоординированных по срокам, ресурсам и исполнителям на всех стадиях реализации Программы, </w:t>
      </w:r>
      <w:r w:rsidR="005B3F2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</w:t>
      </w:r>
      <w:r w:rsidR="00C02BCE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социального</w:t>
      </w:r>
      <w:r w:rsidR="005B3F2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ветеранов Великой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Отечественной войны, ветеранов труда, пожилых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общества. Перечень мероприятий Программы предс</w:t>
      </w:r>
      <w:r w:rsidR="005B3F20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 в приложении к Программе.</w:t>
      </w:r>
    </w:p>
    <w:p w:rsidR="00C02BCE" w:rsidRPr="002F5E0F" w:rsidRDefault="00C02BCE" w:rsidP="00C02BCE">
      <w:pPr>
        <w:spacing w:after="0" w:line="240" w:lineRule="auto"/>
        <w:ind w:right="-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79C" w:rsidRPr="00C02BCE" w:rsidRDefault="005B3F20" w:rsidP="002F5E0F">
      <w:p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5.</w:t>
      </w:r>
      <w:r w:rsidR="00BB579C"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</w:t>
      </w:r>
    </w:p>
    <w:p w:rsidR="005B3F20" w:rsidRPr="002F5E0F" w:rsidRDefault="005B3F20" w:rsidP="00C02BCE">
      <w:pPr>
        <w:tabs>
          <w:tab w:val="left" w:pos="9746"/>
        </w:tabs>
        <w:spacing w:after="0" w:line="240" w:lineRule="auto"/>
        <w:ind w:right="-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2025-2027</w:t>
      </w:r>
      <w:r w:rsidR="00BB579C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 на реализацию программных мероприятий потребуется направить из средств бюджета Зеленчукско</w:t>
      </w:r>
      <w:r w:rsidR="00695CF5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B579C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450 тыс. рублей: 2025 год-150 тыс</w:t>
      </w:r>
      <w:r w:rsidR="00695CF5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 2026 год - 150 тыс.руб., 2027</w:t>
      </w:r>
      <w:r w:rsidR="00BB579C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- 150 тыс.руб.</w:t>
      </w:r>
    </w:p>
    <w:p w:rsidR="00695CF5" w:rsidRPr="002F5E0F" w:rsidRDefault="00695CF5" w:rsidP="002F5E0F">
      <w:pPr>
        <w:tabs>
          <w:tab w:val="left" w:pos="9746"/>
        </w:tabs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F20" w:rsidRPr="00C02BCE" w:rsidRDefault="005B3F20" w:rsidP="002F5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6</w:t>
      </w:r>
      <w:r w:rsidR="00BB579C" w:rsidRPr="00C02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Перечень целевых показателей (индикаторов) Программы</w:t>
      </w:r>
    </w:p>
    <w:p w:rsidR="00BB579C" w:rsidRDefault="00BB579C" w:rsidP="002F5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реализации Программы используются следующие индикаторы и показатели эффективности ее реализации:</w:t>
      </w:r>
    </w:p>
    <w:p w:rsidR="00C02BCE" w:rsidRPr="002F5E0F" w:rsidRDefault="00C02BCE" w:rsidP="002F5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2"/>
        <w:gridCol w:w="3056"/>
        <w:gridCol w:w="1821"/>
        <w:gridCol w:w="1821"/>
        <w:gridCol w:w="2210"/>
      </w:tblGrid>
      <w:tr w:rsidR="005B3F20" w:rsidRPr="002F5E0F" w:rsidTr="002C4857">
        <w:tc>
          <w:tcPr>
            <w:tcW w:w="675" w:type="dxa"/>
          </w:tcPr>
          <w:p w:rsidR="005B3F20" w:rsidRPr="002F5E0F" w:rsidRDefault="005B3F20" w:rsidP="002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B3F20" w:rsidRPr="002F5E0F" w:rsidRDefault="005B3F20" w:rsidP="002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3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14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914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375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г.</w:t>
            </w:r>
          </w:p>
        </w:tc>
      </w:tr>
      <w:tr w:rsidR="005B3F20" w:rsidRPr="002F5E0F" w:rsidTr="002C4857">
        <w:tc>
          <w:tcPr>
            <w:tcW w:w="675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3" w:type="dxa"/>
          </w:tcPr>
          <w:p w:rsidR="005B3F20" w:rsidRPr="002F5E0F" w:rsidRDefault="005B3F20" w:rsidP="002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социальной адаптации пожилых граждан</w:t>
            </w:r>
          </w:p>
        </w:tc>
        <w:tc>
          <w:tcPr>
            <w:tcW w:w="1914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 пожилых граждан</w:t>
            </w:r>
          </w:p>
        </w:tc>
        <w:tc>
          <w:tcPr>
            <w:tcW w:w="1914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 пожилых граждан</w:t>
            </w:r>
          </w:p>
        </w:tc>
        <w:tc>
          <w:tcPr>
            <w:tcW w:w="2375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 пожилых граждан</w:t>
            </w:r>
          </w:p>
        </w:tc>
      </w:tr>
      <w:tr w:rsidR="005B3F20" w:rsidRPr="002F5E0F" w:rsidTr="002C4857">
        <w:tc>
          <w:tcPr>
            <w:tcW w:w="675" w:type="dxa"/>
          </w:tcPr>
          <w:p w:rsidR="005B3F20" w:rsidRPr="002F5E0F" w:rsidRDefault="005B3F20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3" w:type="dxa"/>
          </w:tcPr>
          <w:p w:rsidR="005B3F20" w:rsidRPr="002F5E0F" w:rsidRDefault="005B3F20" w:rsidP="002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пожилых людей в общественную жизнь,организация их досуга</w:t>
            </w:r>
          </w:p>
        </w:tc>
        <w:tc>
          <w:tcPr>
            <w:tcW w:w="1914" w:type="dxa"/>
          </w:tcPr>
          <w:p w:rsidR="005B3F20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 пожилых граждан</w:t>
            </w:r>
          </w:p>
        </w:tc>
        <w:tc>
          <w:tcPr>
            <w:tcW w:w="1914" w:type="dxa"/>
          </w:tcPr>
          <w:p w:rsidR="005B3F20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 пожилых граждан</w:t>
            </w:r>
          </w:p>
        </w:tc>
        <w:tc>
          <w:tcPr>
            <w:tcW w:w="2375" w:type="dxa"/>
          </w:tcPr>
          <w:p w:rsidR="005B3F20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 пожилых граждан</w:t>
            </w:r>
          </w:p>
        </w:tc>
      </w:tr>
      <w:tr w:rsidR="00F203AB" w:rsidRPr="002F5E0F" w:rsidTr="002C4857">
        <w:tc>
          <w:tcPr>
            <w:tcW w:w="675" w:type="dxa"/>
          </w:tcPr>
          <w:p w:rsidR="00F203AB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3" w:type="dxa"/>
          </w:tcPr>
          <w:p w:rsidR="00F203AB" w:rsidRPr="002F5E0F" w:rsidRDefault="00F203AB" w:rsidP="002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ветеранам и малообеспеченным гражданам в </w:t>
            </w: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приобретении продуктов питания и товаров первой необходимости</w:t>
            </w:r>
          </w:p>
        </w:tc>
        <w:tc>
          <w:tcPr>
            <w:tcW w:w="1914" w:type="dxa"/>
          </w:tcPr>
          <w:p w:rsidR="00F203AB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55% пожилых граждан</w:t>
            </w:r>
          </w:p>
        </w:tc>
        <w:tc>
          <w:tcPr>
            <w:tcW w:w="1914" w:type="dxa"/>
          </w:tcPr>
          <w:p w:rsidR="00F203AB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 пожилых граждан</w:t>
            </w:r>
          </w:p>
        </w:tc>
        <w:tc>
          <w:tcPr>
            <w:tcW w:w="2375" w:type="dxa"/>
          </w:tcPr>
          <w:p w:rsidR="00F203AB" w:rsidRPr="002F5E0F" w:rsidRDefault="00F203A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 пожилых граждан</w:t>
            </w:r>
          </w:p>
        </w:tc>
      </w:tr>
    </w:tbl>
    <w:p w:rsidR="00F203AB" w:rsidRPr="00C02BCE" w:rsidRDefault="00F203AB" w:rsidP="00C02BCE">
      <w:pPr>
        <w:tabs>
          <w:tab w:val="left" w:pos="9356"/>
        </w:tabs>
        <w:spacing w:after="0" w:line="240" w:lineRule="auto"/>
        <w:ind w:left="40" w:right="860" w:firstLine="246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02BC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7.Механизм реализации Программы</w:t>
      </w:r>
    </w:p>
    <w:p w:rsidR="00F203AB" w:rsidRPr="002F5E0F" w:rsidRDefault="00F203AB" w:rsidP="00C02BCE">
      <w:pPr>
        <w:tabs>
          <w:tab w:val="left" w:pos="9356"/>
        </w:tabs>
        <w:spacing w:after="0" w:line="240" w:lineRule="auto"/>
        <w:ind w:right="-1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Механизм реализации Программы формируется в соответствии с федеральным законодательством, законодательством Карачаево-Черкесской Республики по вопросам программной проработки и решения актуальных проблем в сфере организации социальной защиты населения. Механизм реализации Программы включает в себя:</w:t>
      </w:r>
    </w:p>
    <w:p w:rsidR="00F203AB" w:rsidRPr="002F5E0F" w:rsidRDefault="00F203AB" w:rsidP="00C02BCE">
      <w:pPr>
        <w:tabs>
          <w:tab w:val="left" w:pos="9356"/>
        </w:tabs>
        <w:spacing w:after="0" w:line="240" w:lineRule="auto"/>
        <w:ind w:left="4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стратегическое планирование и прогнозирование;</w:t>
      </w:r>
    </w:p>
    <w:p w:rsidR="00F203AB" w:rsidRPr="002F5E0F" w:rsidRDefault="00F203AB" w:rsidP="00C02BCE">
      <w:pPr>
        <w:tabs>
          <w:tab w:val="left" w:pos="9356"/>
        </w:tabs>
        <w:spacing w:after="0" w:line="240" w:lineRule="auto"/>
        <w:ind w:left="40" w:right="-20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применение правовых рычагов влияния (совокупность нормативных правовых актов федерального и республиканского, уровней), способствующих решению задач Программы, а также регулирующих отношения на всех уровнях исполнительной власти;</w:t>
      </w:r>
    </w:p>
    <w:p w:rsidR="00F203AB" w:rsidRPr="002F5E0F" w:rsidRDefault="00F203AB" w:rsidP="00C02BCE">
      <w:pPr>
        <w:tabs>
          <w:tab w:val="left" w:pos="9356"/>
          <w:tab w:val="left" w:pos="10322"/>
        </w:tabs>
        <w:spacing w:after="0" w:line="240" w:lineRule="auto"/>
        <w:ind w:left="40" w:right="-20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организационную структуру управления реализацией Программы (определение состава, функций и согласованности звеньев всех уровней управления).</w:t>
      </w:r>
    </w:p>
    <w:p w:rsidR="004A38EE" w:rsidRPr="002F5E0F" w:rsidRDefault="00F203AB" w:rsidP="00C02BCE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Важнейшим элементом реализации Программы, является взаимосвязь планирования, реализации, мониторинга, уточнения и корректировки Программы. Принятие управленческих решений в рамках Программы будет осуществляться с учетом информации, поступающей от исполнителей программных мероприятий. Формирование и использование современной системы контроля на всех стадиях реализации Программы должно стать неотъемлемой составляющей механизма ее реализации. Финансирование мероприятий Программы в очередном финансовом году осуществляется с учетом результатов мониторинга и о</w:t>
      </w:r>
      <w:bookmarkStart w:id="2" w:name="bookmark6"/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ценки эффективности выполнения </w:t>
      </w:r>
      <w:r w:rsidRPr="002F5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Программы в отчетном периоде.</w:t>
      </w:r>
      <w:bookmarkEnd w:id="2"/>
    </w:p>
    <w:p w:rsidR="00F203AB" w:rsidRDefault="004A38EE" w:rsidP="00C02BCE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Исполнители несут ответственность за реализацию Программы и за достижение утвержденных значений показателей эффективности, согласно статье 4 закона Карачаево-Черкесской республики от 11.04.2005 №40-РЗ «Об административных правонарушениях».</w:t>
      </w:r>
    </w:p>
    <w:p w:rsidR="00C02BCE" w:rsidRPr="002F5E0F" w:rsidRDefault="00C02BCE" w:rsidP="00C02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203AB" w:rsidRPr="00C02BCE" w:rsidRDefault="00F203AB" w:rsidP="002F5E0F">
      <w:pPr>
        <w:tabs>
          <w:tab w:val="left" w:pos="9214"/>
          <w:tab w:val="left" w:pos="9356"/>
          <w:tab w:val="left" w:pos="10286"/>
        </w:tabs>
        <w:spacing w:after="0" w:line="240" w:lineRule="auto"/>
        <w:ind w:left="40" w:right="-88"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2B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8.Ожидаемые конечные результаты Программы</w:t>
      </w:r>
    </w:p>
    <w:p w:rsidR="00F203AB" w:rsidRPr="002F5E0F" w:rsidRDefault="00F203AB" w:rsidP="00C02BCE">
      <w:pPr>
        <w:tabs>
          <w:tab w:val="left" w:pos="9214"/>
          <w:tab w:val="left" w:pos="9356"/>
          <w:tab w:val="left" w:pos="10286"/>
        </w:tabs>
        <w:spacing w:after="0" w:line="240" w:lineRule="auto"/>
        <w:ind w:left="40" w:right="-88" w:firstLine="8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Социальная эффективность реализации Программы состоит в достижении ее основных целей: повышение уровня и качества жизни ветеранов и пожилых граждан за счет создания для них благоприятных условий для активного участия в жизни о</w:t>
      </w:r>
      <w:r w:rsidR="00695CF5" w:rsidRPr="002F5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2F5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щества.</w:t>
      </w:r>
    </w:p>
    <w:p w:rsidR="00695CF5" w:rsidRDefault="00695CF5" w:rsidP="002F5E0F">
      <w:pPr>
        <w:tabs>
          <w:tab w:val="left" w:pos="9214"/>
          <w:tab w:val="left" w:pos="9356"/>
          <w:tab w:val="left" w:pos="10286"/>
        </w:tabs>
        <w:spacing w:after="0" w:line="240" w:lineRule="auto"/>
        <w:ind w:left="40" w:right="-88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2BCE" w:rsidRPr="002F5E0F" w:rsidRDefault="00C02BCE" w:rsidP="002F5E0F">
      <w:pPr>
        <w:tabs>
          <w:tab w:val="left" w:pos="9214"/>
          <w:tab w:val="left" w:pos="9356"/>
          <w:tab w:val="left" w:pos="10286"/>
        </w:tabs>
        <w:spacing w:after="0" w:line="240" w:lineRule="auto"/>
        <w:ind w:left="40" w:right="-88" w:firstLine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2BCE" w:rsidRDefault="00884F66" w:rsidP="002F5E0F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–управления </w:t>
      </w:r>
    </w:p>
    <w:p w:rsidR="00C02BCE" w:rsidRDefault="00C02BCE" w:rsidP="00C02BC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84F66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дминистрацииЗеленчукского </w:t>
      </w:r>
    </w:p>
    <w:p w:rsidR="00884F66" w:rsidRPr="002F5E0F" w:rsidRDefault="00884F66" w:rsidP="00C02BC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</w:t>
      </w:r>
      <w:r w:rsidR="00695CF5"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Саламахина</w:t>
      </w:r>
    </w:p>
    <w:p w:rsidR="00BB579C" w:rsidRPr="002F5E0F" w:rsidRDefault="00BB579C" w:rsidP="002F5E0F">
      <w:pPr>
        <w:tabs>
          <w:tab w:val="left" w:pos="113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866442" w:rsidP="002F5E0F">
      <w:pPr>
        <w:tabs>
          <w:tab w:val="left" w:pos="113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CF5" w:rsidRPr="002F5E0F" w:rsidRDefault="00695CF5" w:rsidP="002F5E0F">
      <w:pPr>
        <w:tabs>
          <w:tab w:val="left" w:pos="1134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627C2C" w:rsidP="002F5E0F">
      <w:pPr>
        <w:tabs>
          <w:tab w:val="left" w:pos="1134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866442" w:rsidRPr="002F5E0F" w:rsidRDefault="00866442" w:rsidP="002F5E0F">
      <w:pPr>
        <w:tabs>
          <w:tab w:val="left" w:pos="113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442" w:rsidRPr="002F5E0F" w:rsidRDefault="00627C2C" w:rsidP="002F5E0F">
      <w:pPr>
        <w:tabs>
          <w:tab w:val="left" w:pos="1134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66442" w:rsidRPr="002F5E0F" w:rsidRDefault="00627C2C" w:rsidP="002F5E0F">
      <w:pPr>
        <w:tabs>
          <w:tab w:val="left" w:pos="1134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мероприятий муниципальной программы «Социальная поддержка пожилых граждан в 2025-2027 гг. В Зеленчукском муниципальном районе</w:t>
      </w:r>
      <w:r w:rsidR="00C02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</w:t>
      </w:r>
      <w:r w:rsidRPr="002F5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6442" w:rsidRPr="002F5E0F" w:rsidRDefault="00866442" w:rsidP="002F5E0F">
      <w:pPr>
        <w:tabs>
          <w:tab w:val="left" w:pos="113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065" w:type="dxa"/>
        <w:tblInd w:w="-147" w:type="dxa"/>
        <w:tblLayout w:type="fixed"/>
        <w:tblLook w:val="04A0"/>
      </w:tblPr>
      <w:tblGrid>
        <w:gridCol w:w="527"/>
        <w:gridCol w:w="39"/>
        <w:gridCol w:w="1702"/>
        <w:gridCol w:w="1276"/>
        <w:gridCol w:w="1132"/>
        <w:gridCol w:w="10"/>
        <w:gridCol w:w="840"/>
        <w:gridCol w:w="10"/>
        <w:gridCol w:w="983"/>
        <w:gridCol w:w="10"/>
        <w:gridCol w:w="845"/>
        <w:gridCol w:w="14"/>
        <w:gridCol w:w="1543"/>
        <w:gridCol w:w="1134"/>
      </w:tblGrid>
      <w:tr w:rsidR="00B0372B" w:rsidRPr="00CD546B" w:rsidTr="00CD546B">
        <w:tc>
          <w:tcPr>
            <w:tcW w:w="527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B0372B" w:rsidRPr="00CD546B" w:rsidRDefault="00B0372B" w:rsidP="00C02BCE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мероприятий</w:t>
            </w:r>
          </w:p>
        </w:tc>
        <w:tc>
          <w:tcPr>
            <w:tcW w:w="3844" w:type="dxa"/>
            <w:gridSpan w:val="8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по годам из местного бюджета</w:t>
            </w:r>
          </w:p>
        </w:tc>
        <w:tc>
          <w:tcPr>
            <w:tcW w:w="1543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B0372B" w:rsidRPr="00CD546B" w:rsidTr="00CD546B">
        <w:trPr>
          <w:trHeight w:val="301"/>
        </w:trPr>
        <w:tc>
          <w:tcPr>
            <w:tcW w:w="3544" w:type="dxa"/>
            <w:gridSpan w:val="4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CD546B">
            <w:pPr>
              <w:tabs>
                <w:tab w:val="left" w:pos="1134"/>
                <w:tab w:val="left" w:pos="8364"/>
              </w:tabs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CD546B">
            <w:pPr>
              <w:tabs>
                <w:tab w:val="left" w:pos="1134"/>
                <w:tab w:val="left" w:pos="8364"/>
              </w:tabs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9" w:type="dxa"/>
            <w:gridSpan w:val="2"/>
          </w:tcPr>
          <w:p w:rsidR="00B0372B" w:rsidRPr="00CD546B" w:rsidRDefault="00B0372B" w:rsidP="00CD546B">
            <w:pPr>
              <w:tabs>
                <w:tab w:val="left" w:pos="1134"/>
                <w:tab w:val="left" w:pos="8364"/>
              </w:tabs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43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72B" w:rsidRPr="00CD546B" w:rsidTr="00B0372B">
        <w:tc>
          <w:tcPr>
            <w:tcW w:w="8931" w:type="dxa"/>
            <w:gridSpan w:val="13"/>
          </w:tcPr>
          <w:p w:rsidR="00B0372B" w:rsidRPr="00CD546B" w:rsidRDefault="00B0372B" w:rsidP="002F5E0F">
            <w:pPr>
              <w:pStyle w:val="a4"/>
              <w:numPr>
                <w:ilvl w:val="0"/>
                <w:numId w:val="4"/>
              </w:numPr>
              <w:tabs>
                <w:tab w:val="left" w:pos="1134"/>
                <w:tab w:val="left" w:pos="836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деятельности социальной защищенности пожилых людей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372B" w:rsidRPr="00CD546B" w:rsidTr="00CD546B">
        <w:tblPrEx>
          <w:tblLook w:val="0000"/>
        </w:tblPrEx>
        <w:trPr>
          <w:trHeight w:val="2483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CD546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социально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-экономического положения граждан пожилого возраста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 и СР</w:t>
            </w: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0372B" w:rsidRPr="00CD546B" w:rsidRDefault="00B0372B" w:rsidP="002F5E0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всех пожилых людей, нуждающихся в социальных услугах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B0372B" w:rsidRPr="00CD546B" w:rsidTr="00B0372B">
        <w:tblPrEx>
          <w:tblLook w:val="0000"/>
        </w:tblPrEx>
        <w:trPr>
          <w:trHeight w:val="371"/>
        </w:trPr>
        <w:tc>
          <w:tcPr>
            <w:tcW w:w="8931" w:type="dxa"/>
            <w:gridSpan w:val="13"/>
          </w:tcPr>
          <w:p w:rsidR="00B0372B" w:rsidRPr="00CD546B" w:rsidRDefault="00B0372B" w:rsidP="002F5E0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372B" w:rsidRPr="00CD546B" w:rsidTr="00CD546B">
        <w:tblPrEx>
          <w:tblLook w:val="0000"/>
        </w:tblPrEx>
        <w:trPr>
          <w:trHeight w:val="2378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акций, посвященной Международному дню пожилых граждан и дню инвалидов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 и СР</w:t>
            </w: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ветеранам и малообеспеченным пожилым гражданам </w:t>
            </w:r>
            <w:r w:rsidR="00CD546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продуктового набора и иных товаров, оказание материальной помощи.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B0372B" w:rsidRPr="00CD546B" w:rsidTr="00CD546B">
        <w:tblPrEx>
          <w:tblLook w:val="0000"/>
        </w:tblPrEx>
        <w:trPr>
          <w:trHeight w:val="2378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</w:tcPr>
          <w:p w:rsidR="00B0372B" w:rsidRPr="00CD546B" w:rsidRDefault="00CD546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="00B0372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</w:t>
            </w:r>
            <w:r w:rsidR="00B0372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газету «Пресса 09» материалов о проблемах ветеранов войны и труда, пожилых граждан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 и СР</w:t>
            </w: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газете вопросов, связанных с социальной защитой и социальным обслуживанием пожилых людей, деятельностью органов 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 по улучшению жизнедеятельности пожилых людей и повышению качества их жизни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B0372B" w:rsidRPr="00CD546B" w:rsidTr="00CD546B">
        <w:tblPrEx>
          <w:tblLook w:val="0000"/>
        </w:tblPrEx>
        <w:trPr>
          <w:trHeight w:val="2378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выставок изделий декоративно-прикладного творчества пожилых людей, активиза</w:t>
            </w:r>
            <w:r w:rsid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библиотечного обслуживания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</w:t>
            </w:r>
            <w:r w:rsidR="00CD546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 длямалообеспеченных пожилых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культуры всех населенных пунктов района</w:t>
            </w: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пожилых людей в общественную жизнь, организация их досуга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B0372B" w:rsidRPr="00CD546B" w:rsidTr="00CD546B">
        <w:tblPrEx>
          <w:tblLook w:val="0000"/>
        </w:tblPrEx>
        <w:trPr>
          <w:trHeight w:val="2378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Чествование праздничных дат, посвященных дню инвалидов и дню пожилых граждан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обобщение позитивных примеров жизнедеятельности пожилых людей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B0372B" w:rsidRPr="00CD546B" w:rsidTr="00CD546B">
        <w:tblPrEx>
          <w:tblLook w:val="0000"/>
        </w:tblPrEx>
        <w:trPr>
          <w:trHeight w:val="2378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клубов по </w:t>
            </w:r>
            <w:r w:rsidR="00CD546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интересам «</w:t>
            </w:r>
            <w:r w:rsid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лет</w:t>
            </w:r>
            <w:r w:rsidR="00CD546B"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возраст»</w:t>
            </w:r>
          </w:p>
        </w:tc>
        <w:tc>
          <w:tcPr>
            <w:tcW w:w="1276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культур всех населенных пунктов района</w:t>
            </w:r>
          </w:p>
        </w:tc>
        <w:tc>
          <w:tcPr>
            <w:tcW w:w="1132" w:type="dxa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B0372B" w:rsidRPr="00CD546B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7" w:type="dxa"/>
            <w:gridSpan w:val="2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пожилых людей </w:t>
            </w:r>
          </w:p>
        </w:tc>
        <w:tc>
          <w:tcPr>
            <w:tcW w:w="1134" w:type="dxa"/>
          </w:tcPr>
          <w:p w:rsidR="00B0372B" w:rsidRPr="00CD546B" w:rsidRDefault="00B0372B" w:rsidP="002F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B0372B" w:rsidRPr="00CD546B" w:rsidTr="00CD546B">
        <w:tblPrEx>
          <w:tblLook w:val="0000"/>
        </w:tblPrEx>
        <w:trPr>
          <w:trHeight w:val="649"/>
        </w:trPr>
        <w:tc>
          <w:tcPr>
            <w:tcW w:w="566" w:type="dxa"/>
            <w:gridSpan w:val="2"/>
          </w:tcPr>
          <w:p w:rsidR="00B0372B" w:rsidRPr="00CD546B" w:rsidRDefault="00B0372B" w:rsidP="002F5E0F">
            <w:pPr>
              <w:tabs>
                <w:tab w:val="left" w:pos="1134"/>
                <w:tab w:val="left" w:pos="8364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B0372B" w:rsidRPr="00733426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3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B0372B" w:rsidRPr="00733426" w:rsidRDefault="00B0372B" w:rsidP="002F5E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B0372B" w:rsidRPr="00733426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0" w:type="dxa"/>
            <w:gridSpan w:val="2"/>
          </w:tcPr>
          <w:p w:rsidR="00B0372B" w:rsidRPr="00733426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gridSpan w:val="2"/>
          </w:tcPr>
          <w:p w:rsidR="00B0372B" w:rsidRPr="00733426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5" w:type="dxa"/>
            <w:gridSpan w:val="2"/>
          </w:tcPr>
          <w:p w:rsidR="00B0372B" w:rsidRPr="00733426" w:rsidRDefault="00B0372B" w:rsidP="002F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7" w:type="dxa"/>
            <w:gridSpan w:val="2"/>
          </w:tcPr>
          <w:p w:rsidR="00B0372B" w:rsidRPr="00733426" w:rsidRDefault="00B0372B" w:rsidP="002F5E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0372B" w:rsidRPr="00733426" w:rsidRDefault="00B0372B" w:rsidP="002F5E0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442" w:rsidRPr="00CD546B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442" w:rsidRPr="00CD546B" w:rsidRDefault="00866442" w:rsidP="002F5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961" w:rsidRPr="004C0961" w:rsidRDefault="004C0961" w:rsidP="00866442">
      <w:pPr>
        <w:framePr w:w="9247" w:h="651" w:wrap="notBeside" w:vAnchor="text" w:hAnchor="margin" w:x="18" w:y="1231"/>
        <w:tabs>
          <w:tab w:val="left" w:pos="5100"/>
          <w:tab w:val="left" w:pos="7445"/>
        </w:tabs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sectPr w:rsidR="004C0961" w:rsidRPr="004C0961" w:rsidSect="002F5E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46"/>
    <w:multiLevelType w:val="multilevel"/>
    <w:tmpl w:val="5C405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4474C"/>
    <w:multiLevelType w:val="multilevel"/>
    <w:tmpl w:val="F76A45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F334E"/>
    <w:multiLevelType w:val="hybridMultilevel"/>
    <w:tmpl w:val="AFD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43A04"/>
    <w:multiLevelType w:val="hybridMultilevel"/>
    <w:tmpl w:val="A05EC812"/>
    <w:lvl w:ilvl="0" w:tplc="BEC4F45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61"/>
    <w:rsid w:val="000011DF"/>
    <w:rsid w:val="000C0E6B"/>
    <w:rsid w:val="000C6F8F"/>
    <w:rsid w:val="00113051"/>
    <w:rsid w:val="00274471"/>
    <w:rsid w:val="002C2374"/>
    <w:rsid w:val="002C4857"/>
    <w:rsid w:val="002F54AA"/>
    <w:rsid w:val="002F5E0F"/>
    <w:rsid w:val="00366640"/>
    <w:rsid w:val="00410059"/>
    <w:rsid w:val="004A38EE"/>
    <w:rsid w:val="004C0961"/>
    <w:rsid w:val="005637F1"/>
    <w:rsid w:val="005948FC"/>
    <w:rsid w:val="005B3F20"/>
    <w:rsid w:val="00627C2C"/>
    <w:rsid w:val="00674F2A"/>
    <w:rsid w:val="00695CF5"/>
    <w:rsid w:val="006A6AAA"/>
    <w:rsid w:val="00715AE0"/>
    <w:rsid w:val="00733426"/>
    <w:rsid w:val="00752FAD"/>
    <w:rsid w:val="00866442"/>
    <w:rsid w:val="0086679D"/>
    <w:rsid w:val="00884F66"/>
    <w:rsid w:val="009B6ECB"/>
    <w:rsid w:val="00A1203F"/>
    <w:rsid w:val="00A455E9"/>
    <w:rsid w:val="00AC2A5E"/>
    <w:rsid w:val="00B0372B"/>
    <w:rsid w:val="00B11673"/>
    <w:rsid w:val="00B37ECC"/>
    <w:rsid w:val="00B65D2F"/>
    <w:rsid w:val="00B66510"/>
    <w:rsid w:val="00B86736"/>
    <w:rsid w:val="00BB579C"/>
    <w:rsid w:val="00BF1082"/>
    <w:rsid w:val="00C02BCE"/>
    <w:rsid w:val="00C30A80"/>
    <w:rsid w:val="00C361D9"/>
    <w:rsid w:val="00CA56A7"/>
    <w:rsid w:val="00CD546B"/>
    <w:rsid w:val="00D238E1"/>
    <w:rsid w:val="00D42087"/>
    <w:rsid w:val="00D955FD"/>
    <w:rsid w:val="00DE41B6"/>
    <w:rsid w:val="00F203AB"/>
    <w:rsid w:val="00F7554A"/>
    <w:rsid w:val="00F85A09"/>
    <w:rsid w:val="00FA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4C09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styleId="a3">
    <w:name w:val="Table Grid"/>
    <w:basedOn w:val="a1"/>
    <w:uiPriority w:val="59"/>
    <w:rsid w:val="00A4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03F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BB57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579C"/>
    <w:pPr>
      <w:shd w:val="clear" w:color="auto" w:fill="FFFFFF"/>
      <w:spacing w:after="240" w:line="319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"/>
    <w:basedOn w:val="a0"/>
    <w:rsid w:val="00BB5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1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6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DB0468BEA8956356344F201EE9FD072CE58738D96EA059EFF8BB9A3BAE9E2N1o1N" TargetMode="External"/><Relationship Id="rId5" Type="http://schemas.openxmlformats.org/officeDocument/2006/relationships/hyperlink" Target="consultantplus://offline/ref=C7DDB0468BEA895635635AFF1782C3DA71C207788E93E452C7A0D0E4F4NBo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Иг-аа-а-а-рь!</cp:lastModifiedBy>
  <cp:revision>2</cp:revision>
  <cp:lastPrinted>2024-10-17T09:25:00Z</cp:lastPrinted>
  <dcterms:created xsi:type="dcterms:W3CDTF">2024-12-19T06:28:00Z</dcterms:created>
  <dcterms:modified xsi:type="dcterms:W3CDTF">2024-12-19T06:28:00Z</dcterms:modified>
</cp:coreProperties>
</file>